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87043C" w:rsidRDefault="001956B0">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2914D6">
            <w:pPr>
              <w:rPr>
                <w:rFonts w:ascii="Arial" w:hAnsi="Arial"/>
                <w:b/>
                <w:bCs/>
                <w:noProof w:val="0"/>
                <w:sz w:val="26"/>
                <w:szCs w:val="26"/>
              </w:rPr>
            </w:pPr>
          </w:p>
          <w:p w:rsidR="002914D6" w:rsidRDefault="000053A1" w:rsidP="00B90614">
            <w:pPr>
              <w:rPr>
                <w:b/>
                <w:bCs/>
                <w:noProof w:val="0"/>
                <w:sz w:val="26"/>
                <w:szCs w:val="26"/>
              </w:rPr>
            </w:pPr>
            <w:sdt>
              <w:sdtPr>
                <w:rPr>
                  <w:rtl/>
                </w:rPr>
                <w:alias w:val="1478"/>
                <w:tag w:val="1478"/>
                <w:id w:val="-893967435"/>
                <w:text w:multiLine="1"/>
              </w:sdtPr>
              <w:sdtEndPr/>
              <w:sdtContent>
                <w:r w:rsidR="00B90614">
                  <w:rPr>
                    <w:rFonts w:ascii="Arial" w:hAnsi="Arial" w:hint="cs"/>
                    <w:b/>
                    <w:bCs/>
                    <w:noProof w:val="0"/>
                    <w:sz w:val="26"/>
                    <w:szCs w:val="26"/>
                    <w:rtl/>
                  </w:rPr>
                  <w:t>י.ט.</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B90614">
                  <w:rPr>
                    <w:rFonts w:ascii="Arial" w:hAnsi="Arial" w:hint="cs"/>
                    <w:b/>
                    <w:bCs/>
                    <w:noProof w:val="0"/>
                    <w:sz w:val="26"/>
                    <w:szCs w:val="26"/>
                    <w:rtl/>
                  </w:rPr>
                  <w:t>...</w:t>
                </w:r>
                <w:r w:rsidR="00B90614">
                  <w:rPr>
                    <w:rFonts w:ascii="Arial" w:hAnsi="Arial"/>
                    <w:b/>
                    <w:bCs/>
                    <w:noProof w:val="0"/>
                    <w:sz w:val="26"/>
                    <w:szCs w:val="26"/>
                    <w:rtl/>
                  </w:rPr>
                  <w:br/>
                </w:r>
                <w:r w:rsidR="00B90614">
                  <w:rPr>
                    <w:rFonts w:hint="cs"/>
                    <w:rtl/>
                  </w:rPr>
                  <w:t>ע"י ב"כ עו"ד שלומי שלום</w:t>
                </w:r>
                <w:r w:rsidR="00B90614">
                  <w:rPr>
                    <w:rtl/>
                  </w:rPr>
                  <w:br/>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Pr="00B049CD" w:rsidRDefault="002914D6">
            <w:pPr>
              <w:rPr>
                <w:rFonts w:ascii="Arial" w:hAnsi="Arial"/>
                <w:b/>
                <w:bCs/>
                <w:noProof w:val="0"/>
                <w:sz w:val="26"/>
                <w:szCs w:val="26"/>
                <w:rtl/>
              </w:rPr>
            </w:pPr>
          </w:p>
          <w:p w:rsidR="002914D6" w:rsidRPr="00B049CD" w:rsidRDefault="000053A1">
            <w:pPr>
              <w:rPr>
                <w:rFonts w:ascii="Arial" w:hAnsi="Arial"/>
                <w:b/>
                <w:bCs/>
                <w:noProof w:val="0"/>
                <w:sz w:val="26"/>
                <w:szCs w:val="26"/>
              </w:rPr>
            </w:pPr>
            <w:sdt>
              <w:sdtPr>
                <w:rPr>
                  <w:rtl/>
                </w:rPr>
                <w:alias w:val="1184"/>
                <w:tag w:val="1184"/>
                <w:id w:val="-35981914"/>
                <w:text w:multiLine="1"/>
              </w:sdtPr>
              <w:sdtEndPr/>
              <w:sdtContent>
                <w:r w:rsidR="001956B0" w:rsidRPr="00B049CD">
                  <w:rPr>
                    <w:rFonts w:ascii="Arial" w:hAnsi="Arial"/>
                    <w:b/>
                    <w:bCs/>
                    <w:noProof w:val="0"/>
                    <w:sz w:val="26"/>
                    <w:szCs w:val="26"/>
                    <w:rtl/>
                  </w:rPr>
                  <w:t>נתבע</w:t>
                </w:r>
                <w:r w:rsidR="001956B0" w:rsidRPr="00B049CD">
                  <w:rPr>
                    <w:rFonts w:ascii="Arial" w:hAnsi="Arial" w:hint="cs"/>
                    <w:b/>
                    <w:bCs/>
                    <w:noProof w:val="0"/>
                    <w:sz w:val="26"/>
                    <w:szCs w:val="26"/>
                    <w:rtl/>
                  </w:rPr>
                  <w:t>ת</w:t>
                </w:r>
              </w:sdtContent>
            </w:sdt>
          </w:p>
        </w:tc>
        <w:tc>
          <w:tcPr>
            <w:tcW w:w="5571" w:type="dxa"/>
          </w:tcPr>
          <w:p w:rsidR="002914D6" w:rsidRPr="00B049CD" w:rsidRDefault="002914D6">
            <w:pPr>
              <w:rPr>
                <w:rFonts w:ascii="Arial" w:hAnsi="Arial"/>
                <w:b/>
                <w:bCs/>
                <w:noProof w:val="0"/>
                <w:sz w:val="26"/>
                <w:szCs w:val="26"/>
                <w:rtl/>
              </w:rPr>
            </w:pPr>
          </w:p>
          <w:p w:rsidR="002914D6" w:rsidRPr="00B049CD" w:rsidRDefault="000053A1" w:rsidP="00B90614">
            <w:pPr>
              <w:rPr>
                <w:b/>
                <w:bCs/>
                <w:noProof w:val="0"/>
                <w:sz w:val="26"/>
                <w:szCs w:val="26"/>
                <w:rtl/>
              </w:rPr>
            </w:pPr>
            <w:sdt>
              <w:sdtPr>
                <w:rPr>
                  <w:b/>
                  <w:bCs/>
                  <w:rtl/>
                </w:rPr>
                <w:alias w:val="1486"/>
                <w:tag w:val="1486"/>
                <w:id w:val="-734459171"/>
                <w:text w:multiLine="1"/>
              </w:sdtPr>
              <w:sdtEndPr/>
              <w:sdtContent>
                <w:r w:rsidR="00B90614" w:rsidRPr="00B049CD">
                  <w:rPr>
                    <w:rFonts w:ascii="Arial" w:hAnsi="Arial" w:hint="cs"/>
                    <w:b/>
                    <w:bCs/>
                    <w:noProof w:val="0"/>
                    <w:sz w:val="26"/>
                    <w:szCs w:val="26"/>
                    <w:rtl/>
                  </w:rPr>
                  <w:t>ס.</w:t>
                </w:r>
                <w:r w:rsidR="00B90614" w:rsidRPr="00B049CD">
                  <w:rPr>
                    <w:rFonts w:hint="cs"/>
                    <w:b/>
                    <w:bCs/>
                    <w:rtl/>
                  </w:rPr>
                  <w:t>ט.</w:t>
                </w:r>
              </w:sdtContent>
            </w:sdt>
            <w:r w:rsidR="00011212" w:rsidRPr="00B049CD">
              <w:rPr>
                <w:rFonts w:ascii="Arial" w:hAnsi="Arial" w:hint="cs"/>
                <w:b/>
                <w:bCs/>
                <w:noProof w:val="0"/>
                <w:sz w:val="26"/>
                <w:szCs w:val="26"/>
                <w:rtl/>
              </w:rPr>
              <w:t xml:space="preserve"> </w:t>
            </w:r>
            <w:sdt>
              <w:sdtPr>
                <w:rPr>
                  <w:rtl/>
                </w:rPr>
                <w:alias w:val="2317"/>
                <w:tag w:val="2317"/>
                <w:id w:val="71320899"/>
                <w:text w:multiLine="1"/>
              </w:sdtPr>
              <w:sdtEndPr/>
              <w:sdtContent>
                <w:r w:rsidR="00521467" w:rsidRPr="00B049CD">
                  <w:rPr>
                    <w:rFonts w:ascii="Arial" w:hAnsi="Arial"/>
                    <w:b/>
                    <w:bCs/>
                    <w:noProof w:val="0"/>
                    <w:sz w:val="26"/>
                    <w:szCs w:val="26"/>
                    <w:rtl/>
                  </w:rPr>
                  <w:t>ת"ז</w:t>
                </w:r>
              </w:sdtContent>
            </w:sdt>
            <w:r w:rsidR="00011212" w:rsidRPr="00B049CD">
              <w:rPr>
                <w:rFonts w:ascii="Arial" w:hAnsi="Arial" w:hint="cs"/>
                <w:b/>
                <w:bCs/>
                <w:noProof w:val="0"/>
                <w:sz w:val="26"/>
                <w:szCs w:val="26"/>
                <w:rtl/>
              </w:rPr>
              <w:t xml:space="preserve"> </w:t>
            </w:r>
            <w:sdt>
              <w:sdtPr>
                <w:rPr>
                  <w:rtl/>
                </w:rPr>
                <w:alias w:val="2318"/>
                <w:tag w:val="2318"/>
                <w:id w:val="-2129076223"/>
                <w:text w:multiLine="1"/>
              </w:sdtPr>
              <w:sdtEndPr/>
              <w:sdtContent>
                <w:r w:rsidR="00B90614" w:rsidRPr="00B049CD">
                  <w:rPr>
                    <w:rFonts w:ascii="Arial" w:hAnsi="Arial" w:hint="cs"/>
                    <w:b/>
                    <w:bCs/>
                    <w:noProof w:val="0"/>
                    <w:sz w:val="26"/>
                    <w:szCs w:val="26"/>
                    <w:rtl/>
                  </w:rPr>
                  <w:t>...</w:t>
                </w:r>
                <w:r w:rsidR="00B90614" w:rsidRPr="00B049CD">
                  <w:rPr>
                    <w:rFonts w:ascii="Arial" w:hAnsi="Arial"/>
                    <w:b/>
                    <w:bCs/>
                    <w:noProof w:val="0"/>
                    <w:sz w:val="26"/>
                    <w:szCs w:val="26"/>
                    <w:rtl/>
                  </w:rPr>
                  <w:br/>
                </w:r>
                <w:r w:rsidR="00B90614" w:rsidRPr="00B049CD">
                  <w:rPr>
                    <w:rFonts w:hint="cs"/>
                    <w:rtl/>
                  </w:rPr>
                  <w:t>ע"י ב"כ עו"ד אהוד גרין ז"ל ועו"ד רועי גיא-גרין</w:t>
                </w:r>
              </w:sdtContent>
            </w:sdt>
          </w:p>
        </w:tc>
      </w:tr>
      <w:tr w:rsidR="00F03998" w:rsidTr="002C4554">
        <w:trPr>
          <w:trHeight w:val="817"/>
          <w:jc w:val="center"/>
        </w:trPr>
        <w:tc>
          <w:tcPr>
            <w:tcW w:w="8820" w:type="dxa"/>
            <w:gridSpan w:val="3"/>
          </w:tcPr>
          <w:p w:rsidR="0087043C" w:rsidRPr="00B049CD" w:rsidRDefault="0087043C">
            <w:pPr>
              <w:rPr>
                <w:b/>
                <w:bCs/>
                <w:sz w:val="26"/>
                <w:szCs w:val="26"/>
              </w:rPr>
            </w:pPr>
          </w:p>
          <w:p w:rsidR="00F03998" w:rsidRPr="00B049CD" w:rsidRDefault="00F03998">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1956B0" w:rsidRDefault="001956B0" w:rsidP="009679F6">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לפני תביעה רכושית שהוגשה מטעם התובע כנגד הנתבעת – גרושתו</w:t>
      </w:r>
      <w:r w:rsidR="007602FF">
        <w:rPr>
          <w:rFonts w:ascii="David" w:eastAsia="Calibri" w:hAnsi="David" w:hint="cs"/>
          <w:noProof w:val="0"/>
          <w:rtl/>
        </w:rPr>
        <w:t xml:space="preserve">, במסגרתה נפלה מחלוקת בין הצדדים לעניין </w:t>
      </w:r>
      <w:r w:rsidR="009679F6">
        <w:rPr>
          <w:rFonts w:ascii="David" w:eastAsia="Calibri" w:hAnsi="David" w:hint="cs"/>
          <w:noProof w:val="0"/>
          <w:rtl/>
        </w:rPr>
        <w:t>איזון זכויות הצדדים</w:t>
      </w:r>
      <w:r w:rsidR="009679F6" w:rsidRPr="001956B0">
        <w:rPr>
          <w:rFonts w:ascii="David" w:eastAsia="Calibri" w:hAnsi="David"/>
          <w:noProof w:val="0"/>
          <w:rtl/>
        </w:rPr>
        <w:t>.</w:t>
      </w:r>
      <w:r w:rsidR="009679F6">
        <w:rPr>
          <w:rFonts w:ascii="David" w:eastAsia="Calibri" w:hAnsi="David" w:hint="cs"/>
          <w:noProof w:val="0"/>
          <w:rtl/>
        </w:rPr>
        <w:t xml:space="preserve"> </w:t>
      </w:r>
      <w:r w:rsidR="009679F6" w:rsidRPr="00B049CD">
        <w:rPr>
          <w:rFonts w:ascii="David" w:eastAsia="Calibri" w:hAnsi="David" w:hint="cs"/>
          <w:noProof w:val="0"/>
          <w:rtl/>
        </w:rPr>
        <w:t xml:space="preserve">בעקבות </w:t>
      </w:r>
      <w:r w:rsidR="007602FF" w:rsidRPr="00B049CD">
        <w:rPr>
          <w:rFonts w:ascii="David" w:eastAsia="Calibri" w:hAnsi="David" w:hint="cs"/>
          <w:noProof w:val="0"/>
          <w:rtl/>
        </w:rPr>
        <w:t>חוו"ד האקטואר מר</w:t>
      </w:r>
      <w:r w:rsidR="009679F6" w:rsidRPr="00B049CD">
        <w:rPr>
          <w:rFonts w:ascii="David" w:eastAsia="Calibri" w:hAnsi="David" w:hint="cs"/>
          <w:noProof w:val="0"/>
          <w:rtl/>
        </w:rPr>
        <w:t xml:space="preserve"> אבנר נקוראי, מיום</w:t>
      </w:r>
      <w:r w:rsidR="009679F6">
        <w:rPr>
          <w:rFonts w:ascii="David" w:eastAsia="Calibri" w:hAnsi="David" w:hint="cs"/>
          <w:noProof w:val="0"/>
          <w:rtl/>
        </w:rPr>
        <w:t xml:space="preserve"> 23.2.22 .</w:t>
      </w:r>
    </w:p>
    <w:p w:rsidR="00291F1A" w:rsidRPr="009679F6" w:rsidRDefault="00291F1A" w:rsidP="00291F1A">
      <w:pPr>
        <w:spacing w:after="160" w:line="360" w:lineRule="auto"/>
        <w:ind w:left="720"/>
        <w:contextualSpacing/>
        <w:jc w:val="both"/>
        <w:rPr>
          <w:rFonts w:ascii="David" w:eastAsia="Calibri" w:hAnsi="David"/>
          <w:noProof w:val="0"/>
        </w:rPr>
      </w:pPr>
    </w:p>
    <w:p w:rsidR="00291F1A" w:rsidRDefault="00291F1A" w:rsidP="0067686F">
      <w:pPr>
        <w:numPr>
          <w:ilvl w:val="0"/>
          <w:numId w:val="1"/>
        </w:numPr>
        <w:spacing w:after="160" w:line="360" w:lineRule="auto"/>
        <w:contextualSpacing/>
        <w:jc w:val="both"/>
        <w:rPr>
          <w:rFonts w:ascii="David" w:eastAsia="Calibri" w:hAnsi="David"/>
          <w:noProof w:val="0"/>
        </w:rPr>
      </w:pPr>
      <w:r w:rsidRPr="00A95E9A">
        <w:rPr>
          <w:rFonts w:ascii="David" w:eastAsia="Calibri" w:hAnsi="David"/>
          <w:noProof w:val="0"/>
          <w:rtl/>
        </w:rPr>
        <w:t xml:space="preserve">עסקינן בבני זוג לשעבר שהיו נשואים זה לזו </w:t>
      </w:r>
      <w:r w:rsidRPr="00A95E9A">
        <w:rPr>
          <w:rFonts w:ascii="David" w:eastAsia="Calibri" w:hAnsi="David"/>
          <w:b/>
          <w:bCs/>
          <w:noProof w:val="0"/>
          <w:rtl/>
        </w:rPr>
        <w:t>תקופה ממושכת הקרובה ל- 35 שנים</w:t>
      </w:r>
      <w:r w:rsidRPr="00A95E9A">
        <w:rPr>
          <w:rFonts w:ascii="David" w:eastAsia="Calibri" w:hAnsi="David"/>
          <w:noProof w:val="0"/>
          <w:rtl/>
        </w:rPr>
        <w:t xml:space="preserve"> (3.9.1981-15.6.2016). </w:t>
      </w:r>
      <w:r w:rsidRPr="00A95E9A">
        <w:rPr>
          <w:rFonts w:ascii="David" w:eastAsia="Calibri" w:hAnsi="David"/>
          <w:b/>
          <w:bCs/>
          <w:noProof w:val="0"/>
          <w:rtl/>
        </w:rPr>
        <w:t xml:space="preserve">התובע כיום כבן  </w:t>
      </w:r>
      <w:r w:rsidRPr="00A95E9A">
        <w:rPr>
          <w:rFonts w:ascii="David" w:eastAsia="Calibri" w:hAnsi="David" w:hint="cs"/>
          <w:b/>
          <w:bCs/>
          <w:noProof w:val="0"/>
          <w:rtl/>
        </w:rPr>
        <w:t>65</w:t>
      </w:r>
      <w:r w:rsidRPr="00A95E9A">
        <w:rPr>
          <w:rFonts w:ascii="David" w:eastAsia="Calibri" w:hAnsi="David"/>
          <w:noProof w:val="0"/>
          <w:rtl/>
        </w:rPr>
        <w:t xml:space="preserve"> (יליד 16.11.1958) ואילו </w:t>
      </w:r>
      <w:r w:rsidRPr="00A95E9A">
        <w:rPr>
          <w:rFonts w:ascii="David" w:eastAsia="Calibri" w:hAnsi="David"/>
          <w:b/>
          <w:bCs/>
          <w:noProof w:val="0"/>
          <w:rtl/>
        </w:rPr>
        <w:t xml:space="preserve">הנתבעת כבת </w:t>
      </w:r>
      <w:r w:rsidRPr="00A95E9A">
        <w:rPr>
          <w:rFonts w:ascii="David" w:eastAsia="Calibri" w:hAnsi="David" w:hint="cs"/>
          <w:b/>
          <w:bCs/>
          <w:noProof w:val="0"/>
          <w:rtl/>
        </w:rPr>
        <w:t>62</w:t>
      </w:r>
      <w:r w:rsidRPr="00A95E9A">
        <w:rPr>
          <w:rFonts w:ascii="David" w:eastAsia="Calibri" w:hAnsi="David"/>
          <w:noProof w:val="0"/>
          <w:rtl/>
        </w:rPr>
        <w:t xml:space="preserve"> (ילידת 8.9.1961), שניהם טרם יצאו לגמלאות</w:t>
      </w:r>
      <w:r>
        <w:rPr>
          <w:rFonts w:ascii="David" w:eastAsia="Calibri" w:hAnsi="David" w:hint="cs"/>
          <w:noProof w:val="0"/>
          <w:rtl/>
        </w:rPr>
        <w:t xml:space="preserve">, </w:t>
      </w:r>
      <w:r w:rsidR="0067686F">
        <w:rPr>
          <w:rFonts w:ascii="David" w:eastAsia="Calibri" w:hAnsi="David" w:hint="cs"/>
          <w:noProof w:val="0"/>
          <w:rtl/>
        </w:rPr>
        <w:t xml:space="preserve">כאשר </w:t>
      </w:r>
      <w:r w:rsidRPr="00A95E9A">
        <w:rPr>
          <w:rFonts w:ascii="David" w:eastAsia="Calibri" w:hAnsi="David"/>
          <w:noProof w:val="0"/>
          <w:rtl/>
        </w:rPr>
        <w:t xml:space="preserve">פער הגילאים ביניהם הוא כשלוש שנים. </w:t>
      </w:r>
    </w:p>
    <w:p w:rsidR="001956B0" w:rsidRPr="001956B0" w:rsidRDefault="001956B0" w:rsidP="001956B0">
      <w:pPr>
        <w:spacing w:line="360" w:lineRule="auto"/>
        <w:ind w:left="720"/>
        <w:contextualSpacing/>
        <w:jc w:val="both"/>
        <w:rPr>
          <w:rFonts w:ascii="David" w:eastAsia="Calibri" w:hAnsi="David"/>
          <w:noProof w:val="0"/>
        </w:rPr>
      </w:pPr>
    </w:p>
    <w:p w:rsidR="001956B0" w:rsidRPr="001956B0" w:rsidRDefault="001956B0" w:rsidP="0067686F">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 xml:space="preserve">התביעה בראשיתה </w:t>
      </w:r>
      <w:r w:rsidR="0067686F">
        <w:rPr>
          <w:rFonts w:ascii="David" w:eastAsia="Calibri" w:hAnsi="David" w:hint="cs"/>
          <w:noProof w:val="0"/>
          <w:rtl/>
        </w:rPr>
        <w:t>נידונה על ידי כבוד השופט פלקס;</w:t>
      </w:r>
      <w:r w:rsidRPr="001956B0">
        <w:rPr>
          <w:rFonts w:ascii="David" w:eastAsia="Calibri" w:hAnsi="David"/>
          <w:noProof w:val="0"/>
          <w:rtl/>
        </w:rPr>
        <w:t xml:space="preserve"> לאחר שבית המשפט קיים דיונים בתביעה והורה על הגשת סיכומים, הוגשה לפתחו בקשה מטעם הצדדים בה הודיעו כי הגיעו להסכם פשרה (להלן – "</w:t>
      </w:r>
      <w:r w:rsidRPr="001956B0">
        <w:rPr>
          <w:rFonts w:ascii="David" w:eastAsia="Calibri" w:hAnsi="David"/>
          <w:b/>
          <w:bCs/>
          <w:noProof w:val="0"/>
          <w:rtl/>
        </w:rPr>
        <w:t>ההסכם</w:t>
      </w:r>
      <w:r w:rsidRPr="001956B0">
        <w:rPr>
          <w:rFonts w:ascii="David" w:eastAsia="Calibri" w:hAnsi="David"/>
          <w:noProof w:val="0"/>
          <w:rtl/>
        </w:rPr>
        <w:t xml:space="preserve">") ועתרו ליתן לו תוקף של פסק דין. </w:t>
      </w:r>
    </w:p>
    <w:p w:rsidR="001956B0" w:rsidRPr="001956B0" w:rsidRDefault="001956B0" w:rsidP="001956B0">
      <w:pPr>
        <w:spacing w:after="160" w:line="256" w:lineRule="auto"/>
        <w:ind w:left="720"/>
        <w:contextualSpacing/>
        <w:jc w:val="both"/>
        <w:rPr>
          <w:rFonts w:ascii="David" w:eastAsia="Calibri" w:hAnsi="David"/>
          <w:noProof w:val="0"/>
        </w:rPr>
      </w:pPr>
    </w:p>
    <w:p w:rsidR="001956B0" w:rsidRPr="001956B0" w:rsidRDefault="001956B0" w:rsidP="0067686F">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lastRenderedPageBreak/>
        <w:t>בהחלט</w:t>
      </w:r>
      <w:r w:rsidR="0067686F">
        <w:rPr>
          <w:rFonts w:ascii="David" w:eastAsia="Calibri" w:hAnsi="David" w:hint="cs"/>
          <w:noProof w:val="0"/>
          <w:rtl/>
        </w:rPr>
        <w:t>ה</w:t>
      </w:r>
      <w:r w:rsidRPr="001956B0">
        <w:rPr>
          <w:rFonts w:ascii="David" w:eastAsia="Calibri" w:hAnsi="David"/>
          <w:noProof w:val="0"/>
          <w:rtl/>
        </w:rPr>
        <w:t xml:space="preserve"> מיום 2.5.21 ניתן להסכם תוקף</w:t>
      </w:r>
      <w:r w:rsidR="006A02CD">
        <w:rPr>
          <w:rFonts w:ascii="David" w:eastAsia="Calibri" w:hAnsi="David" w:hint="cs"/>
          <w:noProof w:val="0"/>
          <w:rtl/>
        </w:rPr>
        <w:t xml:space="preserve"> של החלטה</w:t>
      </w:r>
      <w:r w:rsidRPr="001956B0">
        <w:rPr>
          <w:rFonts w:ascii="David" w:eastAsia="Calibri" w:hAnsi="David"/>
          <w:noProof w:val="0"/>
          <w:rtl/>
        </w:rPr>
        <w:t xml:space="preserve">. </w:t>
      </w:r>
      <w:r w:rsidR="00466354">
        <w:rPr>
          <w:rFonts w:ascii="David" w:eastAsia="Calibri" w:hAnsi="David" w:hint="cs"/>
          <w:noProof w:val="0"/>
          <w:rtl/>
        </w:rPr>
        <w:t xml:space="preserve">היות </w:t>
      </w:r>
      <w:r w:rsidR="006A02CD">
        <w:rPr>
          <w:rFonts w:ascii="David" w:eastAsia="Calibri" w:hAnsi="David" w:hint="cs"/>
          <w:noProof w:val="0"/>
          <w:rtl/>
        </w:rPr>
        <w:t>ו</w:t>
      </w:r>
      <w:r w:rsidRPr="001956B0">
        <w:rPr>
          <w:rFonts w:ascii="David" w:eastAsia="Calibri" w:hAnsi="David"/>
          <w:noProof w:val="0"/>
          <w:rtl/>
        </w:rPr>
        <w:t xml:space="preserve">הוראות הסכם </w:t>
      </w:r>
      <w:r w:rsidR="006A02CD">
        <w:rPr>
          <w:rFonts w:ascii="David" w:eastAsia="Calibri" w:hAnsi="David" w:hint="cs"/>
          <w:noProof w:val="0"/>
          <w:rtl/>
        </w:rPr>
        <w:t xml:space="preserve">זה </w:t>
      </w:r>
      <w:r w:rsidRPr="001956B0">
        <w:rPr>
          <w:rFonts w:ascii="David" w:eastAsia="Calibri" w:hAnsi="David"/>
          <w:noProof w:val="0"/>
          <w:rtl/>
        </w:rPr>
        <w:t xml:space="preserve">משמשות </w:t>
      </w:r>
      <w:r w:rsidR="006A02CD">
        <w:rPr>
          <w:rFonts w:ascii="David" w:eastAsia="Calibri" w:hAnsi="David" w:hint="cs"/>
          <w:noProof w:val="0"/>
          <w:rtl/>
        </w:rPr>
        <w:t>כ</w:t>
      </w:r>
      <w:r w:rsidRPr="001956B0">
        <w:rPr>
          <w:rFonts w:ascii="David" w:eastAsia="Calibri" w:hAnsi="David"/>
          <w:noProof w:val="0"/>
          <w:rtl/>
        </w:rPr>
        <w:t>בסיס להכרעה דנן, יובאו להלן עיקרי ההסכם הרלוונטיים לעניינינו.</w:t>
      </w:r>
    </w:p>
    <w:p w:rsidR="001956B0" w:rsidRPr="001956B0" w:rsidRDefault="001956B0" w:rsidP="001956B0">
      <w:pPr>
        <w:spacing w:after="160" w:line="256" w:lineRule="auto"/>
        <w:ind w:left="720"/>
        <w:contextualSpacing/>
        <w:jc w:val="both"/>
        <w:rPr>
          <w:rFonts w:ascii="David" w:eastAsia="Calibri" w:hAnsi="David"/>
          <w:noProof w:val="0"/>
        </w:rPr>
      </w:pPr>
    </w:p>
    <w:p w:rsidR="001956B0" w:rsidRPr="007A4DB4" w:rsidRDefault="001956B0" w:rsidP="00AC7F08">
      <w:pPr>
        <w:numPr>
          <w:ilvl w:val="0"/>
          <w:numId w:val="1"/>
        </w:numPr>
        <w:spacing w:after="160" w:line="360" w:lineRule="auto"/>
        <w:contextualSpacing/>
        <w:jc w:val="both"/>
        <w:rPr>
          <w:rFonts w:ascii="David" w:eastAsia="Calibri" w:hAnsi="David"/>
          <w:noProof w:val="0"/>
          <w:rtl/>
        </w:rPr>
      </w:pPr>
      <w:r w:rsidRPr="007A4DB4">
        <w:rPr>
          <w:rFonts w:ascii="David" w:eastAsia="Calibri" w:hAnsi="David"/>
          <w:noProof w:val="0"/>
          <w:rtl/>
        </w:rPr>
        <w:t xml:space="preserve">במסגרת ההסכם הגיעו הצדדים להסכמות בנוגע לפירוק השיתוף בדירת המגורים </w:t>
      </w:r>
      <w:r w:rsidRPr="007A4DB4">
        <w:rPr>
          <w:rFonts w:ascii="David" w:eastAsia="Calibri" w:hAnsi="David"/>
          <w:b/>
          <w:bCs/>
          <w:noProof w:val="0"/>
          <w:rtl/>
        </w:rPr>
        <w:t>ולמינוי אקטואר על ידי בית המשפט</w:t>
      </w:r>
      <w:r w:rsidR="007A4DB4" w:rsidRPr="007A4DB4">
        <w:rPr>
          <w:rFonts w:ascii="David" w:eastAsia="Calibri" w:hAnsi="David" w:hint="cs"/>
          <w:noProof w:val="0"/>
          <w:rtl/>
        </w:rPr>
        <w:t xml:space="preserve">; </w:t>
      </w:r>
      <w:r w:rsidRPr="007A4DB4">
        <w:rPr>
          <w:rFonts w:ascii="David" w:eastAsia="Calibri" w:hAnsi="David"/>
          <w:noProof w:val="0"/>
          <w:rtl/>
        </w:rPr>
        <w:t xml:space="preserve">הוסכם כי </w:t>
      </w:r>
      <w:r w:rsidRPr="007A4DB4">
        <w:rPr>
          <w:rFonts w:ascii="David" w:eastAsia="Calibri" w:hAnsi="David"/>
          <w:b/>
          <w:bCs/>
          <w:noProof w:val="0"/>
          <w:rtl/>
        </w:rPr>
        <w:t>התקופה הקובעת</w:t>
      </w:r>
      <w:r w:rsidRPr="007A4DB4">
        <w:rPr>
          <w:rFonts w:ascii="David" w:eastAsia="Calibri" w:hAnsi="David"/>
          <w:noProof w:val="0"/>
          <w:rtl/>
        </w:rPr>
        <w:t xml:space="preserve"> תהא – החל ממועד הנישואין – 3.9.1981 ועד למועד הפירוד – 15.6.2016, שהוא "</w:t>
      </w:r>
      <w:r w:rsidRPr="007A4DB4">
        <w:rPr>
          <w:rFonts w:ascii="David" w:eastAsia="Calibri" w:hAnsi="David"/>
          <w:b/>
          <w:bCs/>
          <w:noProof w:val="0"/>
          <w:rtl/>
        </w:rPr>
        <w:t>המועד הקובע לאיזון</w:t>
      </w:r>
      <w:r w:rsidRPr="007A4DB4">
        <w:rPr>
          <w:rFonts w:ascii="David" w:eastAsia="Calibri" w:hAnsi="David"/>
          <w:noProof w:val="0"/>
          <w:rtl/>
        </w:rPr>
        <w:t>"; וכי "</w:t>
      </w:r>
      <w:r w:rsidRPr="007A4DB4">
        <w:rPr>
          <w:rFonts w:ascii="David" w:eastAsia="Calibri" w:hAnsi="David"/>
          <w:b/>
          <w:bCs/>
          <w:noProof w:val="0"/>
          <w:rtl/>
        </w:rPr>
        <w:t xml:space="preserve">זכויותיהם העתידיות (כמפורט להלן), </w:t>
      </w:r>
      <w:r w:rsidRPr="007A4DB4">
        <w:rPr>
          <w:rFonts w:ascii="David" w:eastAsia="Calibri" w:hAnsi="David"/>
          <w:b/>
          <w:bCs/>
          <w:noProof w:val="0"/>
          <w:u w:val="single"/>
          <w:rtl/>
        </w:rPr>
        <w:t>תהוונה</w:t>
      </w:r>
      <w:r w:rsidRPr="007A4DB4">
        <w:rPr>
          <w:rFonts w:ascii="David" w:eastAsia="Calibri" w:hAnsi="David"/>
          <w:b/>
          <w:bCs/>
          <w:noProof w:val="0"/>
          <w:rtl/>
        </w:rPr>
        <w:t xml:space="preserve"> ע"י האקטואר</w:t>
      </w:r>
      <w:r w:rsidRPr="007A4DB4">
        <w:rPr>
          <w:rFonts w:ascii="David" w:eastAsia="Calibri" w:hAnsi="David"/>
          <w:noProof w:val="0"/>
          <w:rtl/>
        </w:rPr>
        <w:t>".</w:t>
      </w:r>
    </w:p>
    <w:p w:rsidR="001956B0" w:rsidRPr="001956B0" w:rsidRDefault="001956B0" w:rsidP="001956B0">
      <w:pPr>
        <w:spacing w:after="160" w:line="256" w:lineRule="auto"/>
        <w:ind w:left="720"/>
        <w:contextualSpacing/>
        <w:jc w:val="both"/>
        <w:rPr>
          <w:rFonts w:ascii="David" w:eastAsia="Calibri" w:hAnsi="David"/>
          <w:noProof w:val="0"/>
        </w:rPr>
      </w:pPr>
    </w:p>
    <w:p w:rsidR="001956B0" w:rsidRPr="001956B0" w:rsidRDefault="001956B0" w:rsidP="001956B0">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הצדדים הסכימו כי "</w:t>
      </w:r>
      <w:r w:rsidRPr="001956B0">
        <w:rPr>
          <w:rFonts w:ascii="David" w:eastAsia="Calibri" w:hAnsi="David"/>
          <w:b/>
          <w:bCs/>
          <w:noProof w:val="0"/>
          <w:rtl/>
        </w:rPr>
        <w:t xml:space="preserve">לאחר ביצוע איזון מלא של כלל זכויותיהם ו/או חובותיהם </w:t>
      </w:r>
      <w:r w:rsidRPr="001956B0">
        <w:rPr>
          <w:rFonts w:ascii="David" w:eastAsia="Calibri" w:hAnsi="David"/>
          <w:b/>
          <w:bCs/>
          <w:noProof w:val="0"/>
          <w:u w:val="single"/>
          <w:rtl/>
        </w:rPr>
        <w:t>כערכם נכון למועד האיזון</w:t>
      </w:r>
      <w:r w:rsidRPr="001956B0">
        <w:rPr>
          <w:rFonts w:ascii="David" w:eastAsia="Calibri" w:hAnsi="David"/>
          <w:b/>
          <w:bCs/>
          <w:noProof w:val="0"/>
          <w:rtl/>
        </w:rPr>
        <w:t xml:space="preserve"> (לרבות זכויות פנסיוניות, זכויות פרישה לרבות פדיון ימי חופשה, ימי הבראה, ימי מחלה, מענקי פרישה לרבות הגדלות, מענק שנים עודפות, פיצוי פרישה, קופות גמל וקרנות השתלמות, חשבונות בנק, רכבים, מיטלטלין, הלוואות ומשכנתאות וכיו"ב), בין אם כאלה "שהבשילו" ובין אם עתידיות (וכאמור, אלו העתידיות תהוונה), יקבע האקטואר מהו המאזן הכולל ביניהם</w:t>
      </w:r>
      <w:r w:rsidRPr="001956B0">
        <w:rPr>
          <w:rFonts w:ascii="David" w:eastAsia="Calibri" w:hAnsi="David"/>
          <w:noProof w:val="0"/>
          <w:rtl/>
        </w:rPr>
        <w:t xml:space="preserve"> [...].</w:t>
      </w:r>
    </w:p>
    <w:p w:rsidR="001956B0" w:rsidRPr="001956B0" w:rsidRDefault="001956B0" w:rsidP="001956B0">
      <w:pPr>
        <w:spacing w:line="360" w:lineRule="auto"/>
        <w:ind w:left="720"/>
        <w:contextualSpacing/>
        <w:jc w:val="both"/>
        <w:rPr>
          <w:rFonts w:ascii="David" w:eastAsia="Calibri" w:hAnsi="David"/>
          <w:b/>
          <w:bCs/>
          <w:noProof w:val="0"/>
        </w:rPr>
      </w:pPr>
    </w:p>
    <w:p w:rsidR="001956B0" w:rsidRPr="001956B0" w:rsidRDefault="001956B0" w:rsidP="001956B0">
      <w:pPr>
        <w:spacing w:line="360" w:lineRule="auto"/>
        <w:ind w:left="720"/>
        <w:contextualSpacing/>
        <w:jc w:val="both"/>
        <w:rPr>
          <w:rFonts w:ascii="David" w:eastAsia="Calibri" w:hAnsi="David"/>
          <w:noProof w:val="0"/>
          <w:rtl/>
        </w:rPr>
      </w:pPr>
      <w:r w:rsidRPr="001956B0">
        <w:rPr>
          <w:rFonts w:ascii="David" w:eastAsia="Calibri" w:hAnsi="David"/>
          <w:b/>
          <w:bCs/>
          <w:noProof w:val="0"/>
          <w:rtl/>
        </w:rPr>
        <w:t>לאחר האיזון הפנסיוני יצוין בהוראות לאקטואר כי זכויות פנסיה וותק של התובע אותן רכש בתקופת החיים המשותפים, ייכנסו למאזן הרכוש המשותף שיאוזן</w:t>
      </w:r>
      <w:r w:rsidRPr="001956B0">
        <w:rPr>
          <w:rFonts w:ascii="David" w:eastAsia="Calibri" w:hAnsi="David"/>
          <w:noProof w:val="0"/>
          <w:rtl/>
        </w:rPr>
        <w:t>. [...]". (סעיף 2 להסכם).</w:t>
      </w:r>
    </w:p>
    <w:p w:rsidR="001956B0" w:rsidRPr="001956B0" w:rsidRDefault="001956B0" w:rsidP="001956B0">
      <w:pPr>
        <w:spacing w:after="160" w:line="256" w:lineRule="auto"/>
        <w:ind w:left="720"/>
        <w:contextualSpacing/>
        <w:jc w:val="both"/>
        <w:rPr>
          <w:rFonts w:ascii="David" w:eastAsia="Calibri" w:hAnsi="David"/>
          <w:noProof w:val="0"/>
        </w:rPr>
      </w:pPr>
    </w:p>
    <w:p w:rsidR="001956B0" w:rsidRPr="001956B0" w:rsidRDefault="001956B0" w:rsidP="001956B0">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כן הוסכם כי "</w:t>
      </w:r>
      <w:r w:rsidRPr="001956B0">
        <w:rPr>
          <w:rFonts w:ascii="David" w:eastAsia="Calibri" w:hAnsi="David"/>
          <w:b/>
          <w:bCs/>
          <w:noProof w:val="0"/>
          <w:rtl/>
        </w:rPr>
        <w:t xml:space="preserve">חוות הדעת של האקטואר </w:t>
      </w:r>
      <w:r w:rsidRPr="001956B0">
        <w:rPr>
          <w:rFonts w:ascii="David" w:eastAsia="Calibri" w:hAnsi="David"/>
          <w:b/>
          <w:bCs/>
          <w:noProof w:val="0"/>
          <w:u w:val="single"/>
          <w:rtl/>
        </w:rPr>
        <w:t>תחייב</w:t>
      </w:r>
      <w:r w:rsidRPr="001956B0">
        <w:rPr>
          <w:rFonts w:ascii="David" w:eastAsia="Calibri" w:hAnsi="David"/>
          <w:b/>
          <w:bCs/>
          <w:noProof w:val="0"/>
          <w:rtl/>
        </w:rPr>
        <w:t xml:space="preserve"> את הצדדים, כפוף לזכותם להפנות שאלות הבהרה לאקטואר (שתופנינה בתוך 15 יום מהמצאת חוות דעתו), אך ככל שתעלינה סוגיות משפטיות ו/או טעויות סופר בקשר עם מסקנות האקטואר הם יוכלו לפנות בנדון </w:t>
      </w:r>
      <w:r w:rsidRPr="001956B0">
        <w:rPr>
          <w:rFonts w:ascii="David" w:eastAsia="Calibri" w:hAnsi="David"/>
          <w:b/>
          <w:bCs/>
          <w:noProof w:val="0"/>
          <w:rtl/>
        </w:rPr>
        <w:lastRenderedPageBreak/>
        <w:t>בבקשה לביהמ"ש אשר תוכרע במהרה בתום הליך של בקשה-תגובה ותשובה לתגובה (עם דיון או בלעדיו)</w:t>
      </w:r>
      <w:r w:rsidRPr="001956B0">
        <w:rPr>
          <w:rFonts w:ascii="David" w:eastAsia="Calibri" w:hAnsi="David"/>
          <w:noProof w:val="0"/>
          <w:rtl/>
        </w:rPr>
        <w:t>". (סעיף 3 להסכם). (ההדגשות אינן במקור).</w:t>
      </w:r>
    </w:p>
    <w:p w:rsidR="001956B0" w:rsidRPr="001956B0" w:rsidRDefault="001956B0" w:rsidP="001956B0">
      <w:pPr>
        <w:spacing w:line="360" w:lineRule="auto"/>
        <w:ind w:left="720"/>
        <w:contextualSpacing/>
        <w:jc w:val="both"/>
        <w:rPr>
          <w:rFonts w:ascii="David" w:eastAsia="Calibri" w:hAnsi="David"/>
          <w:noProof w:val="0"/>
        </w:rPr>
      </w:pPr>
    </w:p>
    <w:p w:rsidR="001956B0" w:rsidRPr="001956B0" w:rsidRDefault="000F585A" w:rsidP="001956B0">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ביום </w:t>
      </w:r>
      <w:r w:rsidR="001956B0" w:rsidRPr="001956B0">
        <w:rPr>
          <w:rFonts w:ascii="David" w:eastAsia="Calibri" w:hAnsi="David"/>
          <w:noProof w:val="0"/>
          <w:rtl/>
        </w:rPr>
        <w:t>19.1.22 ניתנה החלטה המאשרת את מינויו של רו"ח אבנר נוקראי כמומחה אקטואר בתיק (להלן – "</w:t>
      </w:r>
      <w:r w:rsidR="001956B0" w:rsidRPr="001956B0">
        <w:rPr>
          <w:rFonts w:ascii="David" w:eastAsia="Calibri" w:hAnsi="David"/>
          <w:b/>
          <w:bCs/>
          <w:noProof w:val="0"/>
          <w:rtl/>
        </w:rPr>
        <w:t>המומחה</w:t>
      </w:r>
      <w:r w:rsidR="001956B0" w:rsidRPr="001956B0">
        <w:rPr>
          <w:rFonts w:ascii="David" w:eastAsia="Calibri" w:hAnsi="David"/>
          <w:noProof w:val="0"/>
          <w:rtl/>
        </w:rPr>
        <w:t>") על פי בקשתם המוסכמת של הצדדים.</w:t>
      </w:r>
    </w:p>
    <w:p w:rsidR="001956B0" w:rsidRPr="001956B0" w:rsidRDefault="001956B0" w:rsidP="001956B0">
      <w:pPr>
        <w:spacing w:after="160" w:line="256" w:lineRule="auto"/>
        <w:ind w:left="720"/>
        <w:contextualSpacing/>
        <w:rPr>
          <w:rFonts w:ascii="David" w:eastAsia="Calibri" w:hAnsi="David"/>
          <w:noProof w:val="0"/>
        </w:rPr>
      </w:pPr>
    </w:p>
    <w:p w:rsidR="001956B0" w:rsidRDefault="001956B0" w:rsidP="001956B0">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 xml:space="preserve">ביום 23.2.22 הוגשה חוות הדעת מטעם המומחה, במסגרתה הציג המומחה שתי חלופות לאיזון המשאבים ביניהם: האחת - על פי </w:t>
      </w:r>
      <w:r w:rsidRPr="001956B0">
        <w:rPr>
          <w:rFonts w:ascii="David" w:eastAsia="Calibri" w:hAnsi="David"/>
          <w:b/>
          <w:bCs/>
          <w:noProof w:val="0"/>
          <w:rtl/>
        </w:rPr>
        <w:t>היוון זכויות</w:t>
      </w:r>
      <w:r w:rsidRPr="001956B0">
        <w:rPr>
          <w:rFonts w:ascii="David" w:eastAsia="Calibri" w:hAnsi="David"/>
          <w:noProof w:val="0"/>
          <w:rtl/>
        </w:rPr>
        <w:t xml:space="preserve"> אשר לפיה לאחר קיזוז הדדי בין הצדדים של כלל הנכסים (בין נזילים בין שאינם נזילים והוונו), על הבעל להעביר לאישה - סך של 22,023 ₪; והשנייה – על פי </w:t>
      </w:r>
      <w:r w:rsidRPr="001956B0">
        <w:rPr>
          <w:rFonts w:ascii="David" w:eastAsia="Calibri" w:hAnsi="David"/>
          <w:b/>
          <w:bCs/>
          <w:noProof w:val="0"/>
          <w:rtl/>
        </w:rPr>
        <w:t>החוק לחלוקת חיסכון פנסיוני בין בני זוג שנפרדו</w:t>
      </w:r>
      <w:r w:rsidRPr="001956B0">
        <w:rPr>
          <w:rFonts w:ascii="David" w:eastAsia="Calibri" w:hAnsi="David"/>
          <w:noProof w:val="0"/>
          <w:rtl/>
        </w:rPr>
        <w:t>, תשע"ד-</w:t>
      </w:r>
      <w:r w:rsidR="00A943AF">
        <w:rPr>
          <w:rFonts w:ascii="David" w:eastAsia="Calibri" w:hAnsi="David" w:hint="cs"/>
          <w:noProof w:val="0"/>
          <w:rtl/>
        </w:rPr>
        <w:t xml:space="preserve"> </w:t>
      </w:r>
      <w:r w:rsidR="00A943AF">
        <w:rPr>
          <w:rFonts w:ascii="David" w:eastAsia="Calibri" w:hAnsi="David"/>
          <w:noProof w:val="0"/>
          <w:rtl/>
        </w:rPr>
        <w:t>2014</w:t>
      </w:r>
      <w:r w:rsidR="00A943AF">
        <w:rPr>
          <w:rFonts w:ascii="David" w:eastAsia="Calibri" w:hAnsi="David" w:hint="cs"/>
          <w:noProof w:val="0"/>
          <w:rtl/>
        </w:rPr>
        <w:t xml:space="preserve"> (להלן </w:t>
      </w:r>
      <w:r w:rsidR="00A943AF">
        <w:rPr>
          <w:rFonts w:ascii="David" w:eastAsia="Calibri" w:hAnsi="David"/>
          <w:noProof w:val="0"/>
          <w:rtl/>
        </w:rPr>
        <w:t>–</w:t>
      </w:r>
      <w:r w:rsidR="00A943AF">
        <w:rPr>
          <w:rFonts w:ascii="David" w:eastAsia="Calibri" w:hAnsi="David" w:hint="cs"/>
          <w:noProof w:val="0"/>
          <w:rtl/>
        </w:rPr>
        <w:t xml:space="preserve"> "</w:t>
      </w:r>
      <w:r w:rsidR="00A943AF" w:rsidRPr="00A943AF">
        <w:rPr>
          <w:rFonts w:ascii="David" w:eastAsia="Calibri" w:hAnsi="David" w:hint="cs"/>
          <w:b/>
          <w:bCs/>
          <w:noProof w:val="0"/>
          <w:rtl/>
        </w:rPr>
        <w:t>החוק לחלוקת חיסכון פנסיוני</w:t>
      </w:r>
      <w:r w:rsidR="00A943AF">
        <w:rPr>
          <w:rFonts w:ascii="David" w:eastAsia="Calibri" w:hAnsi="David" w:hint="cs"/>
          <w:noProof w:val="0"/>
          <w:rtl/>
        </w:rPr>
        <w:t>"),</w:t>
      </w:r>
      <w:r w:rsidRPr="001956B0">
        <w:rPr>
          <w:rFonts w:ascii="David" w:eastAsia="Calibri" w:hAnsi="David"/>
          <w:noProof w:val="0"/>
          <w:rtl/>
        </w:rPr>
        <w:t xml:space="preserve"> ולפיה על האישה להעביר לבעל סך של 13,611 ₪ בגין חלוקת נכסים נזילים, וצורפו פסיקתות לחתימה המופנות לקרנות הפנסיה של הצדדים (ביחס לזכויות הפנסיה שאינן נזילות).</w:t>
      </w:r>
    </w:p>
    <w:p w:rsidR="00030C58" w:rsidRDefault="00030C58" w:rsidP="00030C58">
      <w:pPr>
        <w:pStyle w:val="ad"/>
        <w:rPr>
          <w:rFonts w:ascii="David" w:eastAsia="Calibri" w:hAnsi="David"/>
          <w:noProof w:val="0"/>
          <w:rtl/>
        </w:rPr>
      </w:pPr>
    </w:p>
    <w:p w:rsidR="001956B0" w:rsidRPr="00CB2662" w:rsidRDefault="001956B0" w:rsidP="00CB2662">
      <w:pPr>
        <w:numPr>
          <w:ilvl w:val="0"/>
          <w:numId w:val="1"/>
        </w:numPr>
        <w:spacing w:after="160" w:line="360" w:lineRule="auto"/>
        <w:contextualSpacing/>
        <w:jc w:val="both"/>
        <w:rPr>
          <w:rFonts w:ascii="David" w:eastAsia="Calibri" w:hAnsi="David"/>
          <w:noProof w:val="0"/>
          <w:rtl/>
        </w:rPr>
      </w:pPr>
      <w:r w:rsidRPr="00CB2662">
        <w:rPr>
          <w:rFonts w:ascii="David" w:eastAsia="Calibri" w:hAnsi="David"/>
          <w:noProof w:val="0"/>
          <w:rtl/>
        </w:rPr>
        <w:t xml:space="preserve">הצדדים </w:t>
      </w:r>
      <w:r w:rsidR="007602FF" w:rsidRPr="00CB2662">
        <w:rPr>
          <w:rFonts w:ascii="David" w:eastAsia="Calibri" w:hAnsi="David"/>
          <w:noProof w:val="0"/>
          <w:rtl/>
        </w:rPr>
        <w:t xml:space="preserve">העלו </w:t>
      </w:r>
      <w:r w:rsidR="00CB2662" w:rsidRPr="00CB2662">
        <w:rPr>
          <w:rFonts w:ascii="David" w:eastAsia="Calibri" w:hAnsi="David"/>
          <w:noProof w:val="0"/>
          <w:rtl/>
        </w:rPr>
        <w:t>השגות בנוגע לחוות הדעת</w:t>
      </w:r>
      <w:r w:rsidR="00CB2662" w:rsidRPr="00CB2662">
        <w:rPr>
          <w:rFonts w:ascii="David" w:eastAsia="Calibri" w:hAnsi="David" w:hint="cs"/>
          <w:noProof w:val="0"/>
          <w:rtl/>
        </w:rPr>
        <w:t xml:space="preserve">, </w:t>
      </w:r>
      <w:r w:rsidRPr="00CB2662">
        <w:rPr>
          <w:rFonts w:ascii="David" w:eastAsia="Calibri" w:hAnsi="David"/>
          <w:noProof w:val="0"/>
          <w:rtl/>
        </w:rPr>
        <w:t xml:space="preserve">בעטיין ניתנו הוראות </w:t>
      </w:r>
      <w:r w:rsidR="00CB2662" w:rsidRPr="00CB2662">
        <w:rPr>
          <w:rFonts w:ascii="David" w:eastAsia="Calibri" w:hAnsi="David" w:hint="cs"/>
          <w:noProof w:val="0"/>
          <w:rtl/>
        </w:rPr>
        <w:t xml:space="preserve">ביחס למשלוח </w:t>
      </w:r>
      <w:r w:rsidRPr="00CB2662">
        <w:rPr>
          <w:rFonts w:ascii="David" w:eastAsia="Calibri" w:hAnsi="David"/>
          <w:noProof w:val="0"/>
          <w:rtl/>
        </w:rPr>
        <w:t>שאלות הבהרה</w:t>
      </w:r>
      <w:r w:rsidR="00CB2662" w:rsidRPr="00CB2662">
        <w:rPr>
          <w:rFonts w:ascii="David" w:eastAsia="Calibri" w:hAnsi="David" w:hint="cs"/>
          <w:noProof w:val="0"/>
          <w:rtl/>
        </w:rPr>
        <w:t xml:space="preserve"> למומחה</w:t>
      </w:r>
      <w:r w:rsidR="00CB2662">
        <w:rPr>
          <w:rFonts w:ascii="David" w:eastAsia="Calibri" w:hAnsi="David" w:hint="cs"/>
          <w:noProof w:val="0"/>
          <w:rtl/>
        </w:rPr>
        <w:t>;</w:t>
      </w:r>
      <w:r w:rsidR="00CB2662" w:rsidRPr="00CB2662">
        <w:rPr>
          <w:rFonts w:ascii="David" w:eastAsia="Calibri" w:hAnsi="David" w:hint="cs"/>
          <w:noProof w:val="0"/>
          <w:rtl/>
        </w:rPr>
        <w:t xml:space="preserve"> </w:t>
      </w:r>
      <w:r w:rsidRPr="00CB2662">
        <w:rPr>
          <w:rFonts w:ascii="David" w:eastAsia="Calibri" w:hAnsi="David"/>
          <w:noProof w:val="0"/>
          <w:rtl/>
        </w:rPr>
        <w:t>הצדדים שניהם הגישו עמדתם ביחס לפלוגתות שנותרו ביניהם ביחס לחוות הדעת (ראו הודעת התובע מיום 11.4.22 והודעת הנתבעת מיום 3.5.22).</w:t>
      </w:r>
    </w:p>
    <w:p w:rsidR="001956B0" w:rsidRPr="001956B0" w:rsidRDefault="001956B0" w:rsidP="001956B0">
      <w:pPr>
        <w:spacing w:after="160" w:line="256" w:lineRule="auto"/>
        <w:ind w:left="720"/>
        <w:contextualSpacing/>
        <w:rPr>
          <w:rFonts w:ascii="David" w:eastAsia="Calibri" w:hAnsi="David"/>
          <w:noProof w:val="0"/>
        </w:rPr>
      </w:pPr>
    </w:p>
    <w:p w:rsidR="001956B0" w:rsidRDefault="001956B0" w:rsidP="001956B0">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lastRenderedPageBreak/>
        <w:t>בשלב זה הועבר ההליך לפתחו של מותב זה, ובהחלטתי מיום 10.7.22 הוריתי על הוצאת חוות דעת שהוגשה מטעם הנתבעת במסגרת השגותיה על חוות דעת המומחה שמונה, וכן הארכתי את המועד למשלוח שאלות הבהרה למומחה מטעם הצדדים, שלאחריה יוכל כל צד להגיש בקשה מנומקת ככל שיבקש לחקור את המומחה.</w:t>
      </w:r>
    </w:p>
    <w:p w:rsidR="00AA4A61" w:rsidRDefault="00AA4A61" w:rsidP="00AA4A61">
      <w:pPr>
        <w:pStyle w:val="ad"/>
        <w:rPr>
          <w:rFonts w:ascii="David" w:eastAsia="Calibri" w:hAnsi="David"/>
          <w:noProof w:val="0"/>
          <w:rtl/>
        </w:rPr>
      </w:pPr>
    </w:p>
    <w:p w:rsidR="001956B0" w:rsidRPr="001956B0" w:rsidRDefault="001956B0" w:rsidP="001956B0">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הנתבעת פנתה בשאלות הבהרה למומחה. תשובות המומחה לשאלות הבהרה מטעם הנתבעת הוגשו לתיק ביום 1.9.22. לאחר מכן, עתרה הנתבעת בבקשה לחקור את המומחה על שאלות ההבהרה שהפנתה למומחה, עת לטעמה התשובות שניתנו להן אינן מספקות.</w:t>
      </w:r>
    </w:p>
    <w:p w:rsidR="001956B0" w:rsidRPr="001956B0" w:rsidRDefault="001956B0" w:rsidP="001956B0">
      <w:pPr>
        <w:spacing w:line="360" w:lineRule="auto"/>
        <w:ind w:left="720"/>
        <w:contextualSpacing/>
        <w:jc w:val="both"/>
        <w:rPr>
          <w:rFonts w:ascii="David" w:eastAsia="Calibri" w:hAnsi="David"/>
          <w:noProof w:val="0"/>
          <w:rtl/>
        </w:rPr>
      </w:pPr>
    </w:p>
    <w:p w:rsidR="00A67C4E" w:rsidRPr="00A67C4E" w:rsidRDefault="001956B0" w:rsidP="00A67C4E">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 xml:space="preserve">המומחה </w:t>
      </w:r>
      <w:r w:rsidR="00A67C4E" w:rsidRPr="001956B0">
        <w:rPr>
          <w:rFonts w:ascii="David" w:eastAsia="Calibri" w:hAnsi="David"/>
          <w:noProof w:val="0"/>
          <w:rtl/>
        </w:rPr>
        <w:t xml:space="preserve">נחקר </w:t>
      </w:r>
      <w:r w:rsidRPr="001956B0">
        <w:rPr>
          <w:rFonts w:ascii="David" w:eastAsia="Calibri" w:hAnsi="David"/>
          <w:noProof w:val="0"/>
          <w:rtl/>
        </w:rPr>
        <w:t>על ידי הצדדים</w:t>
      </w:r>
      <w:r w:rsidR="00A67C4E">
        <w:rPr>
          <w:rFonts w:ascii="David" w:eastAsia="Calibri" w:hAnsi="David" w:hint="cs"/>
          <w:noProof w:val="0"/>
          <w:rtl/>
        </w:rPr>
        <w:t xml:space="preserve"> בדיון שהתקיים לפני </w:t>
      </w:r>
      <w:r w:rsidRPr="001956B0">
        <w:rPr>
          <w:rFonts w:ascii="David" w:eastAsia="Calibri" w:hAnsi="David"/>
          <w:noProof w:val="0"/>
          <w:rtl/>
        </w:rPr>
        <w:t>ובתום הדיון ניתנו הוראות בדבר הגשת סיכומי</w:t>
      </w:r>
      <w:r w:rsidR="007602FF">
        <w:rPr>
          <w:rFonts w:ascii="David" w:eastAsia="Calibri" w:hAnsi="David" w:hint="cs"/>
          <w:noProof w:val="0"/>
          <w:rtl/>
        </w:rPr>
        <w:t xml:space="preserve"> הצדדים</w:t>
      </w:r>
      <w:r w:rsidR="00A95E9A">
        <w:rPr>
          <w:rFonts w:ascii="David" w:eastAsia="Calibri" w:hAnsi="David" w:hint="cs"/>
          <w:noProof w:val="0"/>
          <w:rtl/>
        </w:rPr>
        <w:t>, ואלו הוגשו לפני.</w:t>
      </w:r>
      <w:r w:rsidR="006B20F8" w:rsidRPr="006B20F8">
        <w:rPr>
          <w:rFonts w:ascii="David" w:eastAsia="Calibri" w:hAnsi="David" w:hint="cs"/>
          <w:noProof w:val="0"/>
          <w:rtl/>
        </w:rPr>
        <w:t xml:space="preserve"> </w:t>
      </w:r>
    </w:p>
    <w:p w:rsidR="00A67C4E" w:rsidRDefault="00A67C4E" w:rsidP="00A67C4E">
      <w:pPr>
        <w:pStyle w:val="ad"/>
        <w:rPr>
          <w:rFonts w:ascii="David" w:eastAsia="Calibri" w:hAnsi="David"/>
          <w:noProof w:val="0"/>
          <w:highlight w:val="yellow"/>
          <w:rtl/>
        </w:rPr>
      </w:pPr>
    </w:p>
    <w:p w:rsidR="001956B0" w:rsidRPr="001956B0" w:rsidRDefault="001956B0" w:rsidP="001956B0">
      <w:pPr>
        <w:spacing w:after="160" w:line="256" w:lineRule="auto"/>
        <w:ind w:left="720"/>
        <w:contextualSpacing/>
        <w:rPr>
          <w:rFonts w:ascii="David" w:eastAsia="Calibri" w:hAnsi="David"/>
          <w:b/>
          <w:bCs/>
          <w:noProof w:val="0"/>
          <w:rtl/>
        </w:rPr>
      </w:pPr>
      <w:r w:rsidRPr="001956B0">
        <w:rPr>
          <w:rFonts w:ascii="David" w:eastAsia="Calibri" w:hAnsi="David"/>
          <w:b/>
          <w:bCs/>
          <w:noProof w:val="0"/>
          <w:rtl/>
        </w:rPr>
        <w:t>טענות הנתבעת</w:t>
      </w:r>
    </w:p>
    <w:p w:rsidR="001956B0" w:rsidRPr="001956B0" w:rsidRDefault="001956B0" w:rsidP="001956B0">
      <w:pPr>
        <w:spacing w:after="160" w:line="256" w:lineRule="auto"/>
        <w:ind w:left="720"/>
        <w:contextualSpacing/>
        <w:rPr>
          <w:rFonts w:ascii="David" w:eastAsia="Calibri" w:hAnsi="David"/>
          <w:noProof w:val="0"/>
          <w:rtl/>
        </w:rPr>
      </w:pPr>
    </w:p>
    <w:p w:rsidR="00771779" w:rsidRDefault="001956B0" w:rsidP="00AA4A61">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 xml:space="preserve">הנתבעת העלתה שלל השגות על חוות דעת המומחה אשר הוצגו בסיכומיה על דרך של שאלות הבהרה לחוות דעת המומחה. במסגרת תשובתה לסיכומי התובע הבהירה כי היא אינה עותרת לפסול את המומחה, אלא להורות לו לתקן את חוות דעתו כמפורט בסיכומיה, וזאת על מנת "להחזיר את חוות הדעת לאותה הערכה ראשונית שהעריכו הצדדים בעת שניהלו מו"מ לפשרה, על סמך הערכות אקטוארים אחרים...שגרסה סכום של 410,000 ₪ לפחות </w:t>
      </w:r>
      <w:r w:rsidR="007602FF" w:rsidRPr="001956B0">
        <w:rPr>
          <w:rFonts w:ascii="David" w:eastAsia="Calibri" w:hAnsi="David" w:hint="cs"/>
          <w:noProof w:val="0"/>
          <w:rtl/>
        </w:rPr>
        <w:t>יישא</w:t>
      </w:r>
      <w:r w:rsidR="007602FF" w:rsidRPr="001956B0">
        <w:rPr>
          <w:rFonts w:ascii="David" w:eastAsia="Calibri" w:hAnsi="David" w:hint="eastAsia"/>
          <w:noProof w:val="0"/>
          <w:rtl/>
        </w:rPr>
        <w:t>ר</w:t>
      </w:r>
      <w:r w:rsidRPr="001956B0">
        <w:rPr>
          <w:rFonts w:ascii="David" w:eastAsia="Calibri" w:hAnsi="David"/>
          <w:noProof w:val="0"/>
          <w:rtl/>
        </w:rPr>
        <w:t xml:space="preserve"> לטובת הנתבעת לאחר האיזון וזה הסכום שהשאירו מוקפא עד לקבלת חוות דעת אקטוארית..." סעיף 16 לסיכומיה.</w:t>
      </w:r>
      <w:r w:rsidR="00AA4A61">
        <w:rPr>
          <w:rFonts w:ascii="David" w:eastAsia="Calibri" w:hAnsi="David" w:hint="cs"/>
          <w:noProof w:val="0"/>
          <w:rtl/>
        </w:rPr>
        <w:t xml:space="preserve"> דהיינו לדבריה הצדדים הניחו בעת חתימת ההסכם כי לאחר ההיוון תשלום האיזון שיהא על הנתבע להעביר לתובעת יעמוד על כ 400,000 ₪.</w:t>
      </w:r>
    </w:p>
    <w:p w:rsidR="00771779" w:rsidRPr="00AA4A61" w:rsidRDefault="00771779" w:rsidP="00771779">
      <w:pPr>
        <w:spacing w:after="160" w:line="360" w:lineRule="auto"/>
        <w:ind w:left="720"/>
        <w:contextualSpacing/>
        <w:jc w:val="both"/>
        <w:rPr>
          <w:rFonts w:ascii="David" w:eastAsia="Calibri" w:hAnsi="David"/>
          <w:noProof w:val="0"/>
        </w:rPr>
      </w:pPr>
    </w:p>
    <w:p w:rsidR="001956B0" w:rsidRPr="00771779" w:rsidRDefault="001956B0" w:rsidP="00AA4A61">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יוער, כי לאחר הגשת חוות הדעת הנתבעת ביקשה לחזור בה מהסכמות הצדדים על פי הסכם הפשרה שאושר הקובע כי חישוב זכויות הצדדים ייעשה על דרך של היוון זכויות עתידיות, ועתרה להורות על איזון משאבים על פי החלופה השנייה שהציג המומחה בחוות דעתו, בהתאם לחוק לחלוקת חיסכון פנסיוני בין בני זוג שנפרדו</w:t>
      </w:r>
      <w:r w:rsidR="00771779" w:rsidRPr="00771779">
        <w:rPr>
          <w:rFonts w:ascii="David" w:eastAsia="Calibri" w:hAnsi="David"/>
          <w:noProof w:val="0"/>
          <w:rtl/>
        </w:rPr>
        <w:t>.</w:t>
      </w:r>
      <w:r w:rsidR="00771779" w:rsidRPr="00771779">
        <w:rPr>
          <w:rFonts w:ascii="David" w:eastAsia="Calibri" w:hAnsi="David" w:hint="cs"/>
          <w:noProof w:val="0"/>
          <w:rtl/>
        </w:rPr>
        <w:t xml:space="preserve"> (ראו: סעיף 10 לתגובת הנתבעת מיום 6.4.22 ; סעיפים 1ב' ו-10 לתגובת הנתבעת מיום 3.5.22).</w:t>
      </w:r>
    </w:p>
    <w:p w:rsidR="00771779" w:rsidRDefault="00771779" w:rsidP="00771779">
      <w:pPr>
        <w:pStyle w:val="ad"/>
        <w:rPr>
          <w:rFonts w:ascii="David" w:eastAsia="Calibri" w:hAnsi="David"/>
          <w:noProof w:val="0"/>
          <w:rtl/>
        </w:rPr>
      </w:pPr>
    </w:p>
    <w:p w:rsidR="001956B0" w:rsidRPr="001956B0" w:rsidRDefault="001956B0" w:rsidP="006E1E8F">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התובע מצדו התנגד לכך וטען כי ההסכם שנערך ביניהם בו הסכימו להיוון הזכויות מחייב את הצדדים. (ראו </w:t>
      </w:r>
      <w:r w:rsidR="006E1E8F" w:rsidRPr="006E1E8F">
        <w:rPr>
          <w:rFonts w:ascii="David" w:eastAsia="Calibri" w:hAnsi="David" w:hint="cs"/>
          <w:noProof w:val="0"/>
          <w:rtl/>
        </w:rPr>
        <w:t>תגובת</w:t>
      </w:r>
      <w:r w:rsidRPr="001956B0">
        <w:rPr>
          <w:rFonts w:ascii="David" w:eastAsia="Calibri" w:hAnsi="David"/>
          <w:noProof w:val="0"/>
          <w:rtl/>
        </w:rPr>
        <w:t xml:space="preserve"> התובע מיום</w:t>
      </w:r>
      <w:r w:rsidR="00771779">
        <w:rPr>
          <w:rFonts w:ascii="David" w:eastAsia="Calibri" w:hAnsi="David" w:hint="cs"/>
          <w:noProof w:val="0"/>
          <w:rtl/>
        </w:rPr>
        <w:t xml:space="preserve"> 11.4.22</w:t>
      </w:r>
      <w:r w:rsidR="006E1E8F">
        <w:rPr>
          <w:rFonts w:ascii="David" w:eastAsia="Calibri" w:hAnsi="David" w:hint="cs"/>
          <w:noProof w:val="0"/>
          <w:rtl/>
        </w:rPr>
        <w:t>).</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8B22E1">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בהתאם </w:t>
      </w:r>
      <w:r w:rsidR="00AA4A61">
        <w:rPr>
          <w:rFonts w:ascii="David" w:eastAsia="Calibri" w:hAnsi="David" w:hint="cs"/>
          <w:noProof w:val="0"/>
          <w:rtl/>
        </w:rPr>
        <w:t xml:space="preserve">להסכם בין הצדדים </w:t>
      </w:r>
      <w:r w:rsidR="00570616" w:rsidRPr="00A95E9A">
        <w:rPr>
          <w:rFonts w:ascii="David" w:eastAsia="Calibri" w:hAnsi="David" w:hint="cs"/>
          <w:noProof w:val="0"/>
          <w:rtl/>
        </w:rPr>
        <w:t>שקיבל תוקף של החלטה</w:t>
      </w:r>
      <w:r w:rsidR="00570616">
        <w:rPr>
          <w:rFonts w:ascii="David" w:eastAsia="Calibri" w:hAnsi="David" w:hint="cs"/>
          <w:noProof w:val="0"/>
          <w:rtl/>
        </w:rPr>
        <w:t>, ה</w:t>
      </w:r>
      <w:r w:rsidR="00AA4A61">
        <w:rPr>
          <w:rFonts w:ascii="David" w:eastAsia="Calibri" w:hAnsi="David" w:hint="cs"/>
          <w:noProof w:val="0"/>
          <w:rtl/>
        </w:rPr>
        <w:t xml:space="preserve">איזון יערך על </w:t>
      </w:r>
      <w:r w:rsidR="00570616">
        <w:rPr>
          <w:rFonts w:ascii="David" w:eastAsia="Calibri" w:hAnsi="David" w:hint="cs"/>
          <w:noProof w:val="0"/>
          <w:rtl/>
        </w:rPr>
        <w:t xml:space="preserve">דרך </w:t>
      </w:r>
      <w:r w:rsidR="00570616" w:rsidRPr="00570616">
        <w:rPr>
          <w:rFonts w:ascii="David" w:eastAsia="Calibri" w:hAnsi="David" w:hint="cs"/>
          <w:b/>
          <w:bCs/>
          <w:noProof w:val="0"/>
          <w:rtl/>
        </w:rPr>
        <w:t>ההיוון</w:t>
      </w:r>
      <w:r w:rsidR="00570616">
        <w:rPr>
          <w:rFonts w:ascii="David" w:eastAsia="Calibri" w:hAnsi="David" w:hint="cs"/>
          <w:noProof w:val="0"/>
          <w:rtl/>
        </w:rPr>
        <w:t xml:space="preserve">,  ולפיכך יש לפעול על </w:t>
      </w:r>
      <w:r w:rsidR="00AA4A61">
        <w:rPr>
          <w:rFonts w:ascii="David" w:eastAsia="Calibri" w:hAnsi="David" w:hint="cs"/>
          <w:noProof w:val="0"/>
          <w:rtl/>
        </w:rPr>
        <w:t xml:space="preserve">פי </w:t>
      </w:r>
      <w:r w:rsidR="00570616">
        <w:rPr>
          <w:rFonts w:ascii="David" w:eastAsia="Calibri" w:hAnsi="David" w:hint="cs"/>
          <w:noProof w:val="0"/>
          <w:rtl/>
        </w:rPr>
        <w:t>ה</w:t>
      </w:r>
      <w:r w:rsidRPr="001956B0">
        <w:rPr>
          <w:rFonts w:ascii="David" w:eastAsia="Calibri" w:hAnsi="David"/>
          <w:noProof w:val="0"/>
          <w:rtl/>
        </w:rPr>
        <w:t xml:space="preserve">חלופה הראשונה של </w:t>
      </w:r>
      <w:r w:rsidRPr="001956B0">
        <w:rPr>
          <w:rFonts w:ascii="David" w:eastAsia="Calibri" w:hAnsi="David"/>
          <w:b/>
          <w:bCs/>
          <w:noProof w:val="0"/>
          <w:rtl/>
        </w:rPr>
        <w:t>היוון זכויות</w:t>
      </w:r>
      <w:r w:rsidR="00A95E9A">
        <w:rPr>
          <w:rFonts w:ascii="David" w:eastAsia="Calibri" w:hAnsi="David" w:hint="cs"/>
          <w:b/>
          <w:bCs/>
          <w:noProof w:val="0"/>
          <w:rtl/>
        </w:rPr>
        <w:t xml:space="preserve">, </w:t>
      </w:r>
      <w:r w:rsidR="00A95E9A" w:rsidRPr="00A95E9A">
        <w:rPr>
          <w:rFonts w:ascii="David" w:eastAsia="Calibri" w:hAnsi="David" w:hint="cs"/>
          <w:noProof w:val="0"/>
          <w:rtl/>
        </w:rPr>
        <w:t>כפי שהוסכמה בהסכם</w:t>
      </w:r>
      <w:r w:rsidR="00570616">
        <w:rPr>
          <w:rFonts w:ascii="David" w:eastAsia="Calibri" w:hAnsi="David" w:hint="cs"/>
          <w:noProof w:val="0"/>
          <w:rtl/>
        </w:rPr>
        <w:t xml:space="preserve">, ודומה כי אף הנתבעת בסעיף 16 </w:t>
      </w:r>
      <w:r w:rsidR="00570616" w:rsidRPr="001956B0">
        <w:rPr>
          <w:rFonts w:ascii="David" w:eastAsia="Calibri" w:hAnsi="David"/>
          <w:noProof w:val="0"/>
          <w:rtl/>
        </w:rPr>
        <w:t>לתשובתה לסיכומי התובע</w:t>
      </w:r>
      <w:r w:rsidR="00570616">
        <w:rPr>
          <w:rFonts w:ascii="David" w:eastAsia="Calibri" w:hAnsi="David" w:hint="cs"/>
          <w:noProof w:val="0"/>
          <w:rtl/>
        </w:rPr>
        <w:t xml:space="preserve"> (המובא לעיל) מסכימה לכך ואך עותרת לדון בהשגותיה על אופן חישוב המומחה בחוו"ד.</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1956B0">
      <w:pPr>
        <w:spacing w:after="160" w:line="256" w:lineRule="auto"/>
        <w:ind w:left="720"/>
        <w:contextualSpacing/>
        <w:rPr>
          <w:rFonts w:ascii="David" w:eastAsia="Calibri" w:hAnsi="David"/>
          <w:b/>
          <w:bCs/>
          <w:noProof w:val="0"/>
          <w:rtl/>
        </w:rPr>
      </w:pPr>
      <w:r w:rsidRPr="001956B0">
        <w:rPr>
          <w:rFonts w:ascii="David" w:eastAsia="Calibri" w:hAnsi="David"/>
          <w:b/>
          <w:bCs/>
          <w:noProof w:val="0"/>
          <w:rtl/>
        </w:rPr>
        <w:t>טענות התובע</w:t>
      </w:r>
    </w:p>
    <w:p w:rsidR="001956B0" w:rsidRPr="001956B0" w:rsidRDefault="001956B0" w:rsidP="001956B0">
      <w:pPr>
        <w:spacing w:after="160" w:line="256" w:lineRule="auto"/>
        <w:ind w:left="720"/>
        <w:contextualSpacing/>
        <w:rPr>
          <w:rFonts w:ascii="David" w:eastAsia="Calibri" w:hAnsi="David"/>
          <w:noProof w:val="0"/>
          <w:rtl/>
        </w:rPr>
      </w:pPr>
    </w:p>
    <w:p w:rsidR="001956B0" w:rsidRPr="001956B0" w:rsidRDefault="001956B0" w:rsidP="008B22E1">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התובע מצדו כפר בשלל השגות הנתבעת ועתר לאמץ את חוות דעתו של המומחה ועמד על המשקל הרב שניתן </w:t>
      </w:r>
      <w:r w:rsidR="008B22E1">
        <w:rPr>
          <w:rFonts w:ascii="David" w:eastAsia="Calibri" w:hAnsi="David" w:hint="cs"/>
          <w:noProof w:val="0"/>
          <w:rtl/>
        </w:rPr>
        <w:t xml:space="preserve">בפסיקה </w:t>
      </w:r>
      <w:r w:rsidRPr="001956B0">
        <w:rPr>
          <w:rFonts w:ascii="David" w:eastAsia="Calibri" w:hAnsi="David"/>
          <w:noProof w:val="0"/>
          <w:rtl/>
        </w:rPr>
        <w:t xml:space="preserve">לחוות דעת המוגשת מטעם מומחה מוסכם.  אם לא די בפסיקה לעניין זה, טען כי במקרה דנן הצדדים הסכימו מפורשות במסגרת הסכם הפשרה שאושר כי חוות הדעת של המומחה תחייב את הצדדים והם יוכלו לחלוק עליה אך במקרה של סוגיות משפטיות השנויות במחלוקת או </w:t>
      </w:r>
      <w:r w:rsidRPr="001956B0">
        <w:rPr>
          <w:rFonts w:ascii="David" w:eastAsia="Calibri" w:hAnsi="David"/>
          <w:noProof w:val="0"/>
          <w:rtl/>
        </w:rPr>
        <w:lastRenderedPageBreak/>
        <w:t xml:space="preserve">טעויות סופר. חרף האמור העלתה הנתבעת שורה ארוכה של טיעונים מקצועיים בנוגע לסוגיות שכולן מצויות במומחיות ובשיקול דעת המומחה, תוך שהיא מבקשת למעשה מבית המשפט לשים עצמה כמומחה חלף המומחה המוסכם. </w:t>
      </w:r>
      <w:r w:rsidR="008B22E1">
        <w:rPr>
          <w:rFonts w:ascii="David" w:eastAsia="Calibri" w:hAnsi="David" w:hint="cs"/>
          <w:noProof w:val="0"/>
          <w:rtl/>
        </w:rPr>
        <w:t xml:space="preserve">לטענתו, </w:t>
      </w:r>
      <w:r w:rsidRPr="001956B0">
        <w:rPr>
          <w:rFonts w:ascii="David" w:eastAsia="Calibri" w:hAnsi="David"/>
          <w:noProof w:val="0"/>
          <w:rtl/>
        </w:rPr>
        <w:t>די בטעמים האמורים על מנת לדחות את השגות הנתבעת על הסף.</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8B22E1" w:rsidP="008B22E1">
      <w:pPr>
        <w:numPr>
          <w:ilvl w:val="0"/>
          <w:numId w:val="1"/>
        </w:numPr>
        <w:spacing w:after="160" w:line="360" w:lineRule="auto"/>
        <w:contextualSpacing/>
        <w:jc w:val="both"/>
        <w:rPr>
          <w:rFonts w:ascii="David" w:eastAsia="Calibri" w:hAnsi="David"/>
          <w:noProof w:val="0"/>
          <w:rtl/>
        </w:rPr>
      </w:pPr>
      <w:r>
        <w:rPr>
          <w:rFonts w:ascii="David" w:eastAsia="Calibri" w:hAnsi="David" w:hint="cs"/>
          <w:noProof w:val="0"/>
          <w:rtl/>
        </w:rPr>
        <w:t xml:space="preserve">כן </w:t>
      </w:r>
      <w:r w:rsidR="001956B0" w:rsidRPr="001956B0">
        <w:rPr>
          <w:rFonts w:ascii="David" w:eastAsia="Calibri" w:hAnsi="David"/>
          <w:noProof w:val="0"/>
          <w:rtl/>
        </w:rPr>
        <w:t xml:space="preserve">התייחס התובע בסיכומיו לשלל השגות הנתבעת לגופו של עניין וזאת </w:t>
      </w:r>
      <w:r>
        <w:rPr>
          <w:rFonts w:ascii="David" w:eastAsia="Calibri" w:hAnsi="David" w:hint="cs"/>
          <w:noProof w:val="0"/>
          <w:rtl/>
        </w:rPr>
        <w:t xml:space="preserve">לשיטתו </w:t>
      </w:r>
      <w:r w:rsidR="001956B0" w:rsidRPr="001956B0">
        <w:rPr>
          <w:rFonts w:ascii="David" w:eastAsia="Calibri" w:hAnsi="David"/>
          <w:noProof w:val="0"/>
          <w:rtl/>
        </w:rPr>
        <w:t>אך למען הזהירות, והציג מטעמו שלוש השגות על חוות דעת המומחה שאינן בתחום מקצועיותו, האחת לעניין הפחתה בלתי מוצדקת של 10% ממחירון לוי יצחק של רכב הנתבעת; השנייה נוגעת להיוון זכויותיה של הנתבעת בהתאם לגיל הפרישה הקבוע בחוק – 62, או 62.8</w:t>
      </w:r>
      <w:r w:rsidR="00CB2662">
        <w:rPr>
          <w:rFonts w:ascii="David" w:eastAsia="Calibri" w:hAnsi="David" w:hint="cs"/>
          <w:noProof w:val="0"/>
          <w:rtl/>
        </w:rPr>
        <w:t xml:space="preserve">, ולא גיל 63.3 </w:t>
      </w:r>
      <w:r w:rsidR="002E63EF">
        <w:rPr>
          <w:rFonts w:ascii="David" w:eastAsia="Calibri" w:hAnsi="David" w:hint="cs"/>
          <w:noProof w:val="0"/>
          <w:rtl/>
        </w:rPr>
        <w:t>אליו התייחס המומחה</w:t>
      </w:r>
      <w:r w:rsidR="001956B0" w:rsidRPr="001956B0">
        <w:rPr>
          <w:rFonts w:ascii="David" w:eastAsia="Calibri" w:hAnsi="David"/>
          <w:noProof w:val="0"/>
          <w:rtl/>
        </w:rPr>
        <w:t>; ובנוגע להלוואה שנטלה הנתבעת על סף הפירוד ששימשה לשיטתו לצורך אישי ולא מוסכם.</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1956B0">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בנוסף, חלק התובע על הצורך שהעלה המומחה לשערוך הסכומים הקבועים בחוות דעתו על ידי הפרשי הצמדה או הפרשי הצמדה וריבית כדין ממועד הקרע 15.6.16, כאשר לטענת התובע אין לכך כל הצדקה. מנגד עתר התובע לשערך את הסכום של 409,125 ₪ יתרת תמורת הדירה שטרם שולמה לו על ידי הנתבעת, וזאת מיום 2.5.21 ועד למועד התשלום בפועל, למצער, על פי אותו מנגנון הצמדה וריבית ככל שיפסקו בנוגע לסכומים הכלולים בחוות הדעת. (מהנימוקים האמורים בסעיף 127 לסיכומיו).</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1956B0">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התובע העלה בסיכומיו פעם נוספת את סוגיית חלוקת המיטלטלין תוך שטען כי עד כה לא הושגה כל הסכמה בין הצדדים בנוגע לחלוקת המיטלטלין ביניהם. </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8B22E1">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lastRenderedPageBreak/>
        <w:t xml:space="preserve">לעניין </w:t>
      </w:r>
      <w:r w:rsidR="008B22E1">
        <w:rPr>
          <w:rFonts w:ascii="David" w:eastAsia="Calibri" w:hAnsi="David" w:hint="cs"/>
          <w:noProof w:val="0"/>
          <w:rtl/>
        </w:rPr>
        <w:t>המיטלטלין</w:t>
      </w:r>
      <w:r w:rsidRPr="001956B0">
        <w:rPr>
          <w:rFonts w:ascii="David" w:eastAsia="Calibri" w:hAnsi="David"/>
          <w:noProof w:val="0"/>
          <w:rtl/>
        </w:rPr>
        <w:t xml:space="preserve"> אציין כבר עתה</w:t>
      </w:r>
      <w:r w:rsidR="008B22E1">
        <w:rPr>
          <w:rFonts w:ascii="David" w:eastAsia="Calibri" w:hAnsi="David" w:hint="cs"/>
          <w:noProof w:val="0"/>
          <w:rtl/>
        </w:rPr>
        <w:t>,</w:t>
      </w:r>
      <w:r w:rsidRPr="001956B0">
        <w:rPr>
          <w:rFonts w:ascii="David" w:eastAsia="Calibri" w:hAnsi="David"/>
          <w:noProof w:val="0"/>
          <w:rtl/>
        </w:rPr>
        <w:t xml:space="preserve"> כי בהתאם לסעיף 13 להחלטתי מיום 10.7.22 על הצדדים לפעול בהתאם ל</w:t>
      </w:r>
      <w:r w:rsidR="008B22E1">
        <w:rPr>
          <w:rFonts w:ascii="David" w:eastAsia="Calibri" w:hAnsi="David" w:hint="cs"/>
          <w:noProof w:val="0"/>
          <w:rtl/>
        </w:rPr>
        <w:t>מנגנון שנקבע ב</w:t>
      </w:r>
      <w:r w:rsidRPr="001956B0">
        <w:rPr>
          <w:rFonts w:ascii="David" w:eastAsia="Calibri" w:hAnsi="David"/>
          <w:noProof w:val="0"/>
          <w:rtl/>
        </w:rPr>
        <w:t>סעיף 2 להסכם הפשרה. בנסיבות האמורות אינני נדרשת לסוגיה זו ועל הצדדים להסתייע בבאי כוחם ולפעול לחלוקת המיטלטלין בעין על פי רשימות הפריטים שיועברו ביניהם, בהתאם להסכמותיהם כאמור.</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1956B0">
      <w:pPr>
        <w:spacing w:after="160" w:line="256" w:lineRule="auto"/>
        <w:ind w:left="720"/>
        <w:contextualSpacing/>
        <w:rPr>
          <w:rFonts w:ascii="David" w:eastAsia="Calibri" w:hAnsi="David"/>
          <w:b/>
          <w:bCs/>
          <w:noProof w:val="0"/>
          <w:rtl/>
        </w:rPr>
      </w:pPr>
      <w:r w:rsidRPr="001956B0">
        <w:rPr>
          <w:rFonts w:ascii="David" w:eastAsia="Calibri" w:hAnsi="David"/>
          <w:b/>
          <w:bCs/>
          <w:noProof w:val="0"/>
          <w:rtl/>
        </w:rPr>
        <w:t>דיון והכרעה</w:t>
      </w:r>
    </w:p>
    <w:p w:rsidR="001956B0" w:rsidRPr="001956B0" w:rsidRDefault="001956B0" w:rsidP="001956B0">
      <w:pPr>
        <w:spacing w:after="160" w:line="256" w:lineRule="auto"/>
        <w:ind w:left="720"/>
        <w:contextualSpacing/>
        <w:rPr>
          <w:rFonts w:ascii="David" w:eastAsia="Calibri" w:hAnsi="David"/>
          <w:noProof w:val="0"/>
          <w:rtl/>
        </w:rPr>
      </w:pPr>
    </w:p>
    <w:p w:rsidR="00987B82" w:rsidRDefault="00941D75" w:rsidP="00987B82">
      <w:pPr>
        <w:numPr>
          <w:ilvl w:val="0"/>
          <w:numId w:val="1"/>
        </w:numPr>
        <w:spacing w:after="160" w:line="360" w:lineRule="auto"/>
        <w:contextualSpacing/>
        <w:jc w:val="both"/>
        <w:rPr>
          <w:rFonts w:ascii="David" w:eastAsia="Calibri" w:hAnsi="David"/>
          <w:noProof w:val="0"/>
        </w:rPr>
      </w:pPr>
      <w:r w:rsidRPr="00987B82">
        <w:rPr>
          <w:rFonts w:ascii="David" w:eastAsia="Calibri" w:hAnsi="David" w:hint="cs"/>
          <w:noProof w:val="0"/>
          <w:rtl/>
        </w:rPr>
        <w:t xml:space="preserve">כאמור, הצדדים הסכימו </w:t>
      </w:r>
      <w:r w:rsidR="00987B82" w:rsidRPr="00987B82">
        <w:rPr>
          <w:rFonts w:ascii="David" w:eastAsia="Calibri" w:hAnsi="David" w:hint="cs"/>
          <w:noProof w:val="0"/>
          <w:rtl/>
        </w:rPr>
        <w:t xml:space="preserve">בהסכם שקיבל תוקף של החלטה </w:t>
      </w:r>
      <w:r w:rsidRPr="00987B82">
        <w:rPr>
          <w:rFonts w:ascii="David" w:eastAsia="Calibri" w:hAnsi="David" w:hint="cs"/>
          <w:noProof w:val="0"/>
          <w:rtl/>
        </w:rPr>
        <w:t xml:space="preserve">על </w:t>
      </w:r>
      <w:r w:rsidRPr="00987B82">
        <w:rPr>
          <w:rFonts w:ascii="David" w:eastAsia="Calibri" w:hAnsi="David" w:hint="cs"/>
          <w:b/>
          <w:bCs/>
          <w:noProof w:val="0"/>
          <w:rtl/>
        </w:rPr>
        <w:t xml:space="preserve">עריכת היוון </w:t>
      </w:r>
      <w:r w:rsidRPr="00987B82">
        <w:rPr>
          <w:rFonts w:ascii="David" w:eastAsia="Calibri" w:hAnsi="David" w:hint="cs"/>
          <w:noProof w:val="0"/>
          <w:rtl/>
        </w:rPr>
        <w:t xml:space="preserve">של מכלול זכויותיהם, </w:t>
      </w:r>
      <w:r w:rsidRPr="00987B82">
        <w:rPr>
          <w:rFonts w:ascii="David" w:eastAsia="Calibri" w:hAnsi="David"/>
          <w:noProof w:val="0"/>
          <w:rtl/>
        </w:rPr>
        <w:t xml:space="preserve">בין </w:t>
      </w:r>
      <w:r w:rsidRPr="00987B82">
        <w:rPr>
          <w:rFonts w:ascii="David" w:eastAsia="Calibri" w:hAnsi="David" w:hint="cs"/>
          <w:noProof w:val="0"/>
          <w:rtl/>
        </w:rPr>
        <w:t xml:space="preserve">אלו שהגיע מועד פירעונן והן ביחס לזכויות </w:t>
      </w:r>
      <w:r w:rsidRPr="00987B82">
        <w:rPr>
          <w:rFonts w:ascii="David" w:eastAsia="Calibri" w:hAnsi="David"/>
          <w:noProof w:val="0"/>
          <w:rtl/>
        </w:rPr>
        <w:t xml:space="preserve">עתידיות </w:t>
      </w:r>
      <w:r w:rsidRPr="00987B82">
        <w:rPr>
          <w:rFonts w:ascii="David" w:eastAsia="Calibri" w:hAnsi="David" w:hint="cs"/>
          <w:noProof w:val="0"/>
          <w:rtl/>
        </w:rPr>
        <w:t xml:space="preserve">שטרם גמלו. </w:t>
      </w:r>
    </w:p>
    <w:p w:rsidR="00987B82" w:rsidRPr="00987B82" w:rsidRDefault="00987B82" w:rsidP="00987B82">
      <w:pPr>
        <w:spacing w:after="160" w:line="360" w:lineRule="auto"/>
        <w:ind w:left="720"/>
        <w:contextualSpacing/>
        <w:jc w:val="both"/>
        <w:rPr>
          <w:rFonts w:ascii="David" w:eastAsia="Calibri" w:hAnsi="David"/>
          <w:noProof w:val="0"/>
        </w:rPr>
      </w:pPr>
    </w:p>
    <w:p w:rsidR="00987B82" w:rsidRPr="008A233F" w:rsidRDefault="00941D75" w:rsidP="002728FE">
      <w:pPr>
        <w:numPr>
          <w:ilvl w:val="0"/>
          <w:numId w:val="1"/>
        </w:numPr>
        <w:spacing w:after="160" w:line="360" w:lineRule="auto"/>
        <w:contextualSpacing/>
        <w:jc w:val="both"/>
        <w:rPr>
          <w:rFonts w:ascii="David" w:eastAsia="Calibri" w:hAnsi="David"/>
          <w:noProof w:val="0"/>
        </w:rPr>
      </w:pPr>
      <w:r w:rsidRPr="008A233F">
        <w:rPr>
          <w:rFonts w:ascii="David" w:eastAsia="Calibri" w:hAnsi="David" w:hint="cs"/>
          <w:noProof w:val="0"/>
          <w:rtl/>
        </w:rPr>
        <w:t>יובהר כ</w:t>
      </w:r>
      <w:r w:rsidR="00987B82" w:rsidRPr="008A233F">
        <w:rPr>
          <w:rFonts w:ascii="David" w:eastAsia="Calibri" w:hAnsi="David" w:hint="cs"/>
          <w:noProof w:val="0"/>
          <w:rtl/>
        </w:rPr>
        <w:t xml:space="preserve">בר עתה כי </w:t>
      </w:r>
      <w:r w:rsidRPr="008A233F">
        <w:rPr>
          <w:rFonts w:ascii="David" w:eastAsia="Calibri" w:hAnsi="David" w:hint="cs"/>
          <w:noProof w:val="0"/>
          <w:rtl/>
        </w:rPr>
        <w:t xml:space="preserve">ההסכמה העומדת בבסיס הבחירה באפשרות של היוון הזכויות, היא כי החישוב יערך על פי הערכה, </w:t>
      </w:r>
      <w:r w:rsidRPr="008A233F">
        <w:rPr>
          <w:rFonts w:ascii="David" w:eastAsia="Calibri" w:hAnsi="David" w:hint="cs"/>
          <w:b/>
          <w:bCs/>
          <w:noProof w:val="0"/>
          <w:rtl/>
        </w:rPr>
        <w:t xml:space="preserve">בהתבסס על </w:t>
      </w:r>
      <w:r w:rsidR="0083704F" w:rsidRPr="008A233F">
        <w:rPr>
          <w:rFonts w:ascii="David" w:eastAsia="Calibri" w:hAnsi="David" w:hint="cs"/>
          <w:b/>
          <w:bCs/>
          <w:noProof w:val="0"/>
          <w:rtl/>
        </w:rPr>
        <w:t>אומדנות ו</w:t>
      </w:r>
      <w:r w:rsidRPr="008A233F">
        <w:rPr>
          <w:rFonts w:ascii="David" w:eastAsia="Calibri" w:hAnsi="David" w:hint="cs"/>
          <w:b/>
          <w:bCs/>
          <w:noProof w:val="0"/>
          <w:rtl/>
        </w:rPr>
        <w:t>הנחות יסוד מקובלות</w:t>
      </w:r>
      <w:r w:rsidRPr="00522738">
        <w:rPr>
          <w:rtl/>
        </w:rPr>
        <w:t xml:space="preserve"> </w:t>
      </w:r>
      <w:r w:rsidRPr="008A233F">
        <w:rPr>
          <w:rFonts w:ascii="David" w:eastAsia="Calibri" w:hAnsi="David"/>
          <w:noProof w:val="0"/>
          <w:rtl/>
        </w:rPr>
        <w:t>תוחלת חיים</w:t>
      </w:r>
      <w:r w:rsidRPr="008A233F">
        <w:rPr>
          <w:rFonts w:ascii="David" w:eastAsia="Calibri" w:hAnsi="David" w:hint="cs"/>
          <w:noProof w:val="0"/>
          <w:rtl/>
        </w:rPr>
        <w:t xml:space="preserve">, משכורת קובעת, מקדמים מקובלים ושיעורי ריבית), אשר הצדדים לא קבעו לגביהם הוראות מפורשות בהסכם; </w:t>
      </w:r>
    </w:p>
    <w:p w:rsidR="00987B82" w:rsidRDefault="00987B82" w:rsidP="00987B82">
      <w:pPr>
        <w:pStyle w:val="ad"/>
        <w:rPr>
          <w:rFonts w:ascii="David" w:eastAsia="Calibri" w:hAnsi="David"/>
          <w:noProof w:val="0"/>
          <w:rtl/>
        </w:rPr>
      </w:pPr>
    </w:p>
    <w:p w:rsidR="00987B82" w:rsidRPr="003E5757" w:rsidRDefault="00987B82" w:rsidP="005D50D5">
      <w:pPr>
        <w:numPr>
          <w:ilvl w:val="0"/>
          <w:numId w:val="1"/>
        </w:numPr>
        <w:spacing w:after="160" w:line="360" w:lineRule="auto"/>
        <w:contextualSpacing/>
        <w:jc w:val="both"/>
        <w:rPr>
          <w:rFonts w:ascii="David" w:eastAsia="Calibri" w:hAnsi="David"/>
          <w:noProof w:val="0"/>
        </w:rPr>
      </w:pPr>
      <w:r w:rsidRPr="003E5757">
        <w:rPr>
          <w:rFonts w:ascii="David" w:eastAsia="Calibri" w:hAnsi="David" w:hint="cs"/>
          <w:noProof w:val="0"/>
          <w:rtl/>
        </w:rPr>
        <w:t>בעניינ</w:t>
      </w:r>
      <w:r w:rsidR="007819F4">
        <w:rPr>
          <w:rFonts w:ascii="David" w:eastAsia="Calibri" w:hAnsi="David" w:hint="cs"/>
          <w:noProof w:val="0"/>
          <w:rtl/>
        </w:rPr>
        <w:t>נ</w:t>
      </w:r>
      <w:r w:rsidRPr="003E5757">
        <w:rPr>
          <w:rFonts w:ascii="David" w:eastAsia="Calibri" w:hAnsi="David" w:hint="cs"/>
          <w:noProof w:val="0"/>
          <w:rtl/>
        </w:rPr>
        <w:t xml:space="preserve">ו, שני הצדדים זכאים </w:t>
      </w:r>
      <w:r w:rsidRPr="003E5757">
        <w:rPr>
          <w:rFonts w:ascii="David" w:eastAsia="Calibri" w:hAnsi="David" w:hint="cs"/>
          <w:b/>
          <w:bCs/>
          <w:noProof w:val="0"/>
          <w:rtl/>
        </w:rPr>
        <w:t>לפנסיה תקציבית</w:t>
      </w:r>
      <w:r w:rsidRPr="003E5757">
        <w:rPr>
          <w:rFonts w:ascii="David" w:eastAsia="Calibri" w:hAnsi="David" w:hint="cs"/>
          <w:noProof w:val="0"/>
          <w:rtl/>
        </w:rPr>
        <w:t xml:space="preserve"> משירות המדינה, </w:t>
      </w:r>
      <w:r w:rsidR="003E5757" w:rsidRPr="003E5757">
        <w:rPr>
          <w:rFonts w:ascii="David" w:eastAsia="Calibri" w:hAnsi="David" w:hint="cs"/>
          <w:noProof w:val="0"/>
          <w:rtl/>
        </w:rPr>
        <w:t xml:space="preserve">שבמהותה הינה </w:t>
      </w:r>
      <w:r w:rsidR="003E5757" w:rsidRPr="005D50D5">
        <w:rPr>
          <w:rFonts w:ascii="David" w:eastAsia="Calibri" w:hAnsi="David" w:hint="cs"/>
          <w:b/>
          <w:bCs/>
          <w:noProof w:val="0"/>
          <w:rtl/>
        </w:rPr>
        <w:t>זכות עתידית</w:t>
      </w:r>
      <w:r w:rsidR="003E5757" w:rsidRPr="003E5757">
        <w:rPr>
          <w:rFonts w:ascii="David" w:eastAsia="Calibri" w:hAnsi="David" w:hint="cs"/>
          <w:noProof w:val="0"/>
          <w:rtl/>
        </w:rPr>
        <w:t xml:space="preserve"> לקבלת קצבה, ולא צבירה של </w:t>
      </w:r>
      <w:r w:rsidR="00B85466">
        <w:rPr>
          <w:rFonts w:ascii="David" w:eastAsia="Calibri" w:hAnsi="David" w:hint="cs"/>
          <w:noProof w:val="0"/>
          <w:rtl/>
        </w:rPr>
        <w:t xml:space="preserve">סכום </w:t>
      </w:r>
      <w:r w:rsidR="003E5757" w:rsidRPr="003E5757">
        <w:rPr>
          <w:rFonts w:ascii="David" w:eastAsia="Calibri" w:hAnsi="David" w:hint="cs"/>
          <w:noProof w:val="0"/>
          <w:rtl/>
        </w:rPr>
        <w:t>מוגדר</w:t>
      </w:r>
      <w:r w:rsidR="00B85466">
        <w:rPr>
          <w:rFonts w:ascii="David" w:eastAsia="Calibri" w:hAnsi="David" w:hint="cs"/>
          <w:noProof w:val="0"/>
          <w:rtl/>
        </w:rPr>
        <w:t xml:space="preserve"> (כפי ש</w:t>
      </w:r>
      <w:r w:rsidR="005D50D5">
        <w:rPr>
          <w:rFonts w:ascii="David" w:eastAsia="Calibri" w:hAnsi="David" w:hint="cs"/>
          <w:noProof w:val="0"/>
          <w:rtl/>
        </w:rPr>
        <w:t>קורה</w:t>
      </w:r>
      <w:r w:rsidR="00B85466">
        <w:rPr>
          <w:rFonts w:ascii="David" w:eastAsia="Calibri" w:hAnsi="David" w:hint="cs"/>
          <w:noProof w:val="0"/>
          <w:rtl/>
        </w:rPr>
        <w:t xml:space="preserve"> בפנסיה צוברת)</w:t>
      </w:r>
      <w:r w:rsidR="003E5757" w:rsidRPr="003E5757">
        <w:rPr>
          <w:rFonts w:ascii="David" w:eastAsia="Calibri" w:hAnsi="David" w:hint="cs"/>
          <w:noProof w:val="0"/>
          <w:rtl/>
        </w:rPr>
        <w:t xml:space="preserve">. לפיכך, </w:t>
      </w:r>
      <w:r w:rsidR="00B85466">
        <w:rPr>
          <w:rFonts w:ascii="David" w:eastAsia="Calibri" w:hAnsi="David" w:hint="cs"/>
          <w:noProof w:val="0"/>
          <w:rtl/>
        </w:rPr>
        <w:t xml:space="preserve">לצורך </w:t>
      </w:r>
      <w:r w:rsidR="003E5757">
        <w:rPr>
          <w:rFonts w:ascii="David" w:eastAsia="Calibri" w:hAnsi="David" w:hint="cs"/>
          <w:noProof w:val="0"/>
          <w:rtl/>
        </w:rPr>
        <w:t xml:space="preserve">עריכת </w:t>
      </w:r>
      <w:r w:rsidRPr="003E5757">
        <w:rPr>
          <w:rFonts w:ascii="David" w:eastAsia="Calibri" w:hAnsi="David" w:hint="cs"/>
          <w:noProof w:val="0"/>
          <w:rtl/>
        </w:rPr>
        <w:t xml:space="preserve">היוון </w:t>
      </w:r>
      <w:r w:rsidR="00B85466">
        <w:rPr>
          <w:rFonts w:ascii="David" w:eastAsia="Calibri" w:hAnsi="David" w:hint="cs"/>
          <w:noProof w:val="0"/>
          <w:rtl/>
        </w:rPr>
        <w:t xml:space="preserve">עת עסקינן בפנסיה תקציבית יש </w:t>
      </w:r>
      <w:r w:rsidR="00B85466" w:rsidRPr="00B85466">
        <w:rPr>
          <w:rFonts w:ascii="David" w:eastAsia="Calibri" w:hAnsi="David" w:hint="cs"/>
          <w:b/>
          <w:bCs/>
          <w:noProof w:val="0"/>
          <w:rtl/>
        </w:rPr>
        <w:t>להגדיר רעיונית</w:t>
      </w:r>
      <w:r w:rsidR="00B85466">
        <w:rPr>
          <w:rFonts w:ascii="David" w:eastAsia="Calibri" w:hAnsi="David" w:hint="cs"/>
          <w:noProof w:val="0"/>
          <w:rtl/>
        </w:rPr>
        <w:t xml:space="preserve"> מה שווי הזכות שצבר כל אחד מהצדדים, </w:t>
      </w:r>
      <w:r w:rsidR="00B85466" w:rsidRPr="00B85466">
        <w:rPr>
          <w:rFonts w:ascii="David" w:eastAsia="Calibri" w:hAnsi="David" w:hint="cs"/>
          <w:b/>
          <w:bCs/>
          <w:noProof w:val="0"/>
          <w:rtl/>
        </w:rPr>
        <w:t>ולאפיין את</w:t>
      </w:r>
      <w:r w:rsidR="00B85466">
        <w:rPr>
          <w:rFonts w:ascii="David" w:eastAsia="Calibri" w:hAnsi="David" w:hint="cs"/>
          <w:noProof w:val="0"/>
          <w:rtl/>
        </w:rPr>
        <w:t xml:space="preserve"> </w:t>
      </w:r>
      <w:r w:rsidR="00B85466">
        <w:rPr>
          <w:rFonts w:ascii="David" w:eastAsia="Calibri" w:hAnsi="David" w:hint="cs"/>
          <w:b/>
          <w:bCs/>
          <w:noProof w:val="0"/>
          <w:rtl/>
        </w:rPr>
        <w:t xml:space="preserve">זכויותיו </w:t>
      </w:r>
      <w:r w:rsidR="003E5757" w:rsidRPr="003E5757">
        <w:rPr>
          <w:rFonts w:ascii="David" w:eastAsia="Calibri" w:hAnsi="David" w:hint="cs"/>
          <w:noProof w:val="0"/>
          <w:rtl/>
        </w:rPr>
        <w:t xml:space="preserve">ובכלל זאת </w:t>
      </w:r>
      <w:r w:rsidRPr="003E5757">
        <w:rPr>
          <w:rFonts w:ascii="David" w:eastAsia="Calibri" w:hAnsi="David" w:hint="cs"/>
          <w:noProof w:val="0"/>
          <w:rtl/>
        </w:rPr>
        <w:t xml:space="preserve">לקבוע </w:t>
      </w:r>
      <w:r w:rsidRPr="003E5757">
        <w:rPr>
          <w:rFonts w:ascii="David" w:eastAsia="Calibri" w:hAnsi="David" w:hint="cs"/>
          <w:noProof w:val="0"/>
          <w:u w:val="single"/>
          <w:rtl/>
        </w:rPr>
        <w:t>מהו</w:t>
      </w:r>
      <w:r w:rsidRPr="003E5757">
        <w:rPr>
          <w:rFonts w:ascii="David" w:eastAsia="Calibri" w:hAnsi="David" w:hint="cs"/>
          <w:noProof w:val="0"/>
          <w:rtl/>
        </w:rPr>
        <w:t xml:space="preserve"> הסכום אותו עתיד כל אחד מהצדדים לקבל, ולשם כך יש לקבוע </w:t>
      </w:r>
      <w:r w:rsidRPr="0083704F">
        <w:rPr>
          <w:rFonts w:ascii="David" w:eastAsia="Calibri" w:hAnsi="David" w:hint="cs"/>
          <w:noProof w:val="0"/>
          <w:u w:val="single"/>
          <w:rtl/>
        </w:rPr>
        <w:t>ממתי ועד מתי</w:t>
      </w:r>
      <w:r w:rsidRPr="003E5757">
        <w:rPr>
          <w:rFonts w:ascii="David" w:eastAsia="Calibri" w:hAnsi="David" w:hint="cs"/>
          <w:noProof w:val="0"/>
          <w:rtl/>
        </w:rPr>
        <w:t xml:space="preserve"> קמה הזכות לקבלת הקצבה החודשית, מה גובהה, ומה שיעור המס שיהא מוטל עליה.</w:t>
      </w:r>
    </w:p>
    <w:p w:rsidR="00987B82" w:rsidRDefault="00987B82" w:rsidP="00987B82">
      <w:pPr>
        <w:spacing w:after="160" w:line="360" w:lineRule="auto"/>
        <w:ind w:left="720"/>
        <w:contextualSpacing/>
        <w:jc w:val="both"/>
        <w:rPr>
          <w:rFonts w:ascii="David" w:eastAsia="Calibri" w:hAnsi="David"/>
          <w:noProof w:val="0"/>
        </w:rPr>
      </w:pPr>
    </w:p>
    <w:p w:rsidR="00941D75" w:rsidRPr="00987B82" w:rsidRDefault="00941D75" w:rsidP="0083704F">
      <w:pPr>
        <w:numPr>
          <w:ilvl w:val="0"/>
          <w:numId w:val="1"/>
        </w:numPr>
        <w:spacing w:after="160" w:line="360" w:lineRule="auto"/>
        <w:contextualSpacing/>
        <w:jc w:val="both"/>
        <w:rPr>
          <w:rFonts w:ascii="David" w:eastAsia="Calibri" w:hAnsi="David"/>
          <w:noProof w:val="0"/>
        </w:rPr>
      </w:pPr>
      <w:r w:rsidRPr="00987B82">
        <w:rPr>
          <w:rFonts w:ascii="David" w:eastAsia="Calibri" w:hAnsi="David" w:hint="cs"/>
          <w:noProof w:val="0"/>
          <w:rtl/>
        </w:rPr>
        <w:t xml:space="preserve">מן הראוי היה כי הצדדים יתייחסו מפורשות במסגרת ההסכם לעקרונות ההיוון על פיהם מבקשים הם לערוך את חישוב ההיוון בטרם הפניה למומחה, אולם משלא נעשה כן הדבר, </w:t>
      </w:r>
      <w:r w:rsidR="003E5757">
        <w:rPr>
          <w:rFonts w:ascii="David" w:eastAsia="Calibri" w:hAnsi="David" w:hint="cs"/>
          <w:noProof w:val="0"/>
          <w:rtl/>
        </w:rPr>
        <w:t xml:space="preserve">והצדדים לא הגדירו את הזכות אותה הם מבקשים הם להוון, </w:t>
      </w:r>
      <w:r w:rsidRPr="00987B82">
        <w:rPr>
          <w:rFonts w:ascii="David" w:eastAsia="Calibri" w:hAnsi="David" w:hint="cs"/>
          <w:noProof w:val="0"/>
          <w:rtl/>
        </w:rPr>
        <w:t xml:space="preserve">וההסכם שנכרת בין הצדדים </w:t>
      </w:r>
      <w:r w:rsidRPr="0083704F">
        <w:rPr>
          <w:rFonts w:ascii="David" w:eastAsia="Calibri" w:hAnsi="David" w:hint="cs"/>
          <w:b/>
          <w:bCs/>
          <w:noProof w:val="0"/>
          <w:rtl/>
        </w:rPr>
        <w:t>שותק</w:t>
      </w:r>
      <w:r w:rsidRPr="00987B82">
        <w:rPr>
          <w:rFonts w:ascii="David" w:eastAsia="Calibri" w:hAnsi="David" w:hint="cs"/>
          <w:noProof w:val="0"/>
          <w:rtl/>
        </w:rPr>
        <w:t xml:space="preserve"> לעניין זה, הובאו לפתחי המחלוקו</w:t>
      </w:r>
      <w:r w:rsidR="0083704F">
        <w:rPr>
          <w:rFonts w:ascii="David" w:eastAsia="Calibri" w:hAnsi="David" w:hint="cs"/>
          <w:noProof w:val="0"/>
          <w:rtl/>
        </w:rPr>
        <w:t>ת בין הצדדים ועלי להכריע בהן במסגרת פסק דין זה</w:t>
      </w:r>
      <w:r w:rsidRPr="00987B82">
        <w:rPr>
          <w:rFonts w:ascii="David" w:eastAsia="Calibri" w:hAnsi="David" w:hint="cs"/>
          <w:noProof w:val="0"/>
          <w:rtl/>
        </w:rPr>
        <w:t>.</w:t>
      </w:r>
    </w:p>
    <w:p w:rsidR="00941D75" w:rsidRPr="003E5757" w:rsidRDefault="00941D75" w:rsidP="00941D75">
      <w:pPr>
        <w:spacing w:after="160" w:line="360" w:lineRule="auto"/>
        <w:ind w:left="720"/>
        <w:contextualSpacing/>
        <w:jc w:val="both"/>
        <w:rPr>
          <w:rFonts w:ascii="David" w:eastAsia="Calibri" w:hAnsi="David"/>
          <w:noProof w:val="0"/>
        </w:rPr>
      </w:pPr>
    </w:p>
    <w:p w:rsidR="001956B0" w:rsidRPr="001956B0" w:rsidRDefault="001956B0" w:rsidP="007602FF">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טרם </w:t>
      </w:r>
      <w:r w:rsidR="007602FF">
        <w:rPr>
          <w:rFonts w:ascii="David" w:eastAsia="Calibri" w:hAnsi="David" w:hint="cs"/>
          <w:noProof w:val="0"/>
          <w:rtl/>
        </w:rPr>
        <w:t>אתייחס</w:t>
      </w:r>
      <w:r w:rsidRPr="001956B0">
        <w:rPr>
          <w:rFonts w:ascii="David" w:eastAsia="Calibri" w:hAnsi="David"/>
          <w:noProof w:val="0"/>
          <w:rtl/>
        </w:rPr>
        <w:t xml:space="preserve"> לגופן של המחלוקות שנתגלעו בין הצדדים, אזכיר כי חוות הדעת נשוא ההכרעה דנן הוגשה מטעם </w:t>
      </w:r>
      <w:r w:rsidRPr="001956B0">
        <w:rPr>
          <w:rFonts w:ascii="David" w:eastAsia="Calibri" w:hAnsi="David"/>
          <w:b/>
          <w:bCs/>
          <w:noProof w:val="0"/>
          <w:rtl/>
        </w:rPr>
        <w:t>מומחה מטעם בית המשפט</w:t>
      </w:r>
      <w:r w:rsidRPr="001956B0">
        <w:rPr>
          <w:rFonts w:ascii="David" w:eastAsia="Calibri" w:hAnsi="David"/>
          <w:noProof w:val="0"/>
          <w:rtl/>
        </w:rPr>
        <w:t xml:space="preserve">, אשר מונה על פי </w:t>
      </w:r>
      <w:r w:rsidRPr="001956B0">
        <w:rPr>
          <w:rFonts w:ascii="David" w:eastAsia="Calibri" w:hAnsi="David"/>
          <w:b/>
          <w:bCs/>
          <w:noProof w:val="0"/>
          <w:rtl/>
        </w:rPr>
        <w:t>הסכמת הצדדים</w:t>
      </w:r>
      <w:r w:rsidRPr="001956B0">
        <w:rPr>
          <w:rFonts w:ascii="David" w:eastAsia="Calibri" w:hAnsi="David"/>
          <w:noProof w:val="0"/>
          <w:rtl/>
        </w:rPr>
        <w:t xml:space="preserve"> במסגרת הסכם פשרה לו ניתן תוקף</w:t>
      </w:r>
      <w:r w:rsidR="008B22E1">
        <w:rPr>
          <w:rFonts w:ascii="David" w:eastAsia="Calibri" w:hAnsi="David" w:hint="cs"/>
          <w:noProof w:val="0"/>
          <w:rtl/>
        </w:rPr>
        <w:t xml:space="preserve"> מחייב</w:t>
      </w:r>
      <w:r w:rsidRPr="001956B0">
        <w:rPr>
          <w:rFonts w:ascii="David" w:eastAsia="Calibri" w:hAnsi="David"/>
          <w:noProof w:val="0"/>
          <w:rtl/>
        </w:rPr>
        <w:t>, ובהתאם להודעתם המוסכמת של הצדדים אודות זהות המומחה דנן. ראו הודעתם המוסכמת של הצדדים מיום 19.1.22 וההחלטה מיום 19.1.22.</w:t>
      </w:r>
    </w:p>
    <w:p w:rsidR="001956B0" w:rsidRPr="001956B0" w:rsidRDefault="001956B0" w:rsidP="001956B0">
      <w:pPr>
        <w:spacing w:line="360" w:lineRule="auto"/>
        <w:ind w:left="720"/>
        <w:contextualSpacing/>
        <w:jc w:val="both"/>
        <w:rPr>
          <w:rFonts w:ascii="David" w:eastAsia="Calibri" w:hAnsi="David"/>
          <w:noProof w:val="0"/>
        </w:rPr>
      </w:pPr>
    </w:p>
    <w:p w:rsidR="001956B0" w:rsidRPr="001956B0" w:rsidRDefault="001956B0" w:rsidP="00F63EDC">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 xml:space="preserve">הדין הנוהג הוא, כי משהוגשה לביהמ"ש חוו"ד מומחה שמונה על ידו, ככלל, יאמץ ביהמ"ש את המלצת המומחה, אלא אם קיימים טעמים בעלי משקל ממשי המצדיקים סטייה מאותה המלצה. ראו: בע"מ 27/06 </w:t>
      </w:r>
      <w:r w:rsidRPr="001956B0">
        <w:rPr>
          <w:rFonts w:ascii="David" w:eastAsia="Calibri" w:hAnsi="David"/>
          <w:b/>
          <w:bCs/>
          <w:noProof w:val="0"/>
          <w:rtl/>
        </w:rPr>
        <w:t>פלוני נ' פלונית</w:t>
      </w:r>
      <w:r w:rsidRPr="001956B0">
        <w:rPr>
          <w:rFonts w:ascii="David" w:eastAsia="Calibri" w:hAnsi="David"/>
          <w:noProof w:val="0"/>
          <w:rtl/>
        </w:rPr>
        <w:t xml:space="preserve"> (2006); והשוו: ע"א 6540/05 </w:t>
      </w:r>
      <w:r w:rsidRPr="001956B0">
        <w:rPr>
          <w:rFonts w:ascii="David" w:eastAsia="Calibri" w:hAnsi="David"/>
          <w:b/>
          <w:bCs/>
          <w:noProof w:val="0"/>
          <w:rtl/>
        </w:rPr>
        <w:t>סולל בונה בע"מ נ' אברמוביץ' אבנר ואח'</w:t>
      </w:r>
      <w:r w:rsidRPr="001956B0">
        <w:rPr>
          <w:rFonts w:ascii="David" w:eastAsia="Calibri" w:hAnsi="David"/>
          <w:noProof w:val="0"/>
          <w:rtl/>
        </w:rPr>
        <w:t xml:space="preserve"> (01.12.2008)‏, פסקה 16 לפסק הדין.</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1956B0">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הדברים אמורים ביתר שאת עת עסקינן במומחה שמונה על פי הסכמת הצדדים עצמם, כפי הסכמת הצדדים בעניינינו, לפיה: "...</w:t>
      </w:r>
      <w:r w:rsidRPr="001956B0">
        <w:rPr>
          <w:rFonts w:ascii="David" w:eastAsia="Calibri" w:hAnsi="David"/>
          <w:b/>
          <w:bCs/>
          <w:noProof w:val="0"/>
          <w:rtl/>
        </w:rPr>
        <w:t xml:space="preserve">חוות הדעת של האקטואר </w:t>
      </w:r>
      <w:r w:rsidRPr="001956B0">
        <w:rPr>
          <w:rFonts w:ascii="David" w:eastAsia="Calibri" w:hAnsi="David"/>
          <w:b/>
          <w:bCs/>
          <w:noProof w:val="0"/>
          <w:u w:val="single"/>
          <w:rtl/>
        </w:rPr>
        <w:t>תחייב את הצדדים</w:t>
      </w:r>
      <w:r w:rsidRPr="001956B0">
        <w:rPr>
          <w:rFonts w:ascii="David" w:eastAsia="Calibri" w:hAnsi="David"/>
          <w:noProof w:val="0"/>
          <w:rtl/>
        </w:rPr>
        <w:t xml:space="preserve">, </w:t>
      </w:r>
      <w:r w:rsidRPr="001956B0">
        <w:rPr>
          <w:rFonts w:ascii="David" w:eastAsia="Calibri" w:hAnsi="David"/>
          <w:b/>
          <w:bCs/>
          <w:noProof w:val="0"/>
          <w:rtl/>
        </w:rPr>
        <w:t>כפוף לזכותם להפנות שאלות הבהרה לאקטואר...</w:t>
      </w:r>
      <w:r w:rsidRPr="001956B0">
        <w:rPr>
          <w:rFonts w:ascii="David" w:eastAsia="Calibri" w:hAnsi="David"/>
          <w:noProof w:val="0"/>
          <w:rtl/>
        </w:rPr>
        <w:t>" (סעיף 3 להסכם; ההדגשות אינן במקור – ה.ג.).</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F63EDC">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lastRenderedPageBreak/>
        <w:t>בפסיקתו של בית המשפט העליון נקבע כי בית המשפט לא יתערב כדבר שבשגרה בהכרעתו של מומחה שהצדדים הסכימו שהכרעתו תהיה סופית ומחייבת.</w:t>
      </w:r>
      <w:r w:rsidRPr="001956B0">
        <w:rPr>
          <w:rFonts w:ascii="David" w:eastAsia="Calibri" w:hAnsi="David"/>
          <w:b/>
          <w:bCs/>
          <w:noProof w:val="0"/>
          <w:rtl/>
        </w:rPr>
        <w:t xml:space="preserve"> </w:t>
      </w:r>
      <w:r w:rsidRPr="001956B0">
        <w:rPr>
          <w:rFonts w:ascii="David" w:eastAsia="Calibri" w:hAnsi="David"/>
          <w:noProof w:val="0"/>
          <w:rtl/>
        </w:rPr>
        <w:t xml:space="preserve">נקבע כי היקף ההתערבות השיפוטית בשיקול דעתו של מומחה אשר מונה בהסכמת הצדדים הוא מצומצם ושמור אך </w:t>
      </w:r>
      <w:r w:rsidRPr="001956B0">
        <w:rPr>
          <w:rFonts w:ascii="David" w:eastAsia="Calibri" w:hAnsi="David"/>
          <w:b/>
          <w:bCs/>
          <w:noProof w:val="0"/>
          <w:rtl/>
        </w:rPr>
        <w:t>למקרים חריגים ביותר ולנסיבות יוצאות דופן</w:t>
      </w:r>
      <w:r w:rsidRPr="001956B0">
        <w:rPr>
          <w:rFonts w:ascii="David" w:eastAsia="Calibri" w:hAnsi="David"/>
          <w:noProof w:val="0"/>
          <w:rtl/>
        </w:rPr>
        <w:t xml:space="preserve"> בהן פעל המומחה בחריגה מסמכות, בניגוד לכללי הצדק הטבעי או תוך פגיעה בעקרונות של הגינות ותום לב, או כאשר נפלה "שגיאה גסה" בשיקול דעתו. ראו:</w:t>
      </w:r>
      <w:r w:rsidRPr="001956B0">
        <w:rPr>
          <w:rFonts w:ascii="David" w:eastAsia="Calibri" w:hAnsi="David"/>
          <w:b/>
          <w:bCs/>
          <w:noProof w:val="0"/>
          <w:rtl/>
        </w:rPr>
        <w:t xml:space="preserve"> </w:t>
      </w:r>
      <w:r w:rsidRPr="001956B0">
        <w:rPr>
          <w:rFonts w:ascii="David" w:eastAsia="Calibri" w:hAnsi="David"/>
          <w:noProof w:val="0"/>
          <w:rtl/>
        </w:rPr>
        <w:t xml:space="preserve">רע"א 6236/21 </w:t>
      </w:r>
      <w:r w:rsidRPr="001956B0">
        <w:rPr>
          <w:rFonts w:ascii="David" w:eastAsia="Calibri" w:hAnsi="David"/>
          <w:b/>
          <w:bCs/>
          <w:noProof w:val="0"/>
          <w:rtl/>
        </w:rPr>
        <w:t>פאני קולין נ' תמיר אלבז</w:t>
      </w:r>
      <w:r w:rsidRPr="001956B0">
        <w:rPr>
          <w:rFonts w:ascii="David" w:eastAsia="Calibri" w:hAnsi="David"/>
          <w:noProof w:val="0"/>
          <w:rtl/>
        </w:rPr>
        <w:t xml:space="preserve"> (07.10.2021)‏‏.</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F63EDC">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בנוסף נקבע, כי מקום בו הצדדים הסכימו שחוות הדעת </w:t>
      </w:r>
      <w:r w:rsidRPr="001956B0">
        <w:rPr>
          <w:rFonts w:ascii="David" w:eastAsia="Calibri" w:hAnsi="David"/>
          <w:b/>
          <w:bCs/>
          <w:noProof w:val="0"/>
          <w:rtl/>
        </w:rPr>
        <w:t>תחייב אותם</w:t>
      </w:r>
      <w:r w:rsidRPr="001956B0">
        <w:rPr>
          <w:rFonts w:ascii="David" w:eastAsia="Calibri" w:hAnsi="David"/>
          <w:noProof w:val="0"/>
          <w:rtl/>
        </w:rPr>
        <w:t xml:space="preserve">, אין להרשות בדיעבד הפרכתה לגופה על ידי ראיה חיצונית אחרת; ובהמשך לכך אף נקבע, כי ככל שמסקנותיו של מומחה מוסכם נוגעות במובהק </w:t>
      </w:r>
      <w:r w:rsidRPr="001956B0">
        <w:rPr>
          <w:rFonts w:ascii="David" w:eastAsia="Calibri" w:hAnsi="David"/>
          <w:b/>
          <w:bCs/>
          <w:noProof w:val="0"/>
          <w:rtl/>
        </w:rPr>
        <w:t>לעניינים שבשיקול דעת</w:t>
      </w:r>
      <w:r w:rsidRPr="001956B0">
        <w:rPr>
          <w:rFonts w:ascii="David" w:eastAsia="Calibri" w:hAnsi="David"/>
          <w:noProof w:val="0"/>
          <w:rtl/>
        </w:rPr>
        <w:t xml:space="preserve">, אין לאפשר בדיעבד לנהל דיון בשאלת אופן יישום שיקול הדעת, אף אם מדובר בטעות שטעה המעריך בתום לב. הטעם לכך הינו </w:t>
      </w:r>
      <w:r w:rsidRPr="00A95E9A">
        <w:rPr>
          <w:rFonts w:ascii="David" w:eastAsia="Calibri" w:hAnsi="David"/>
          <w:b/>
          <w:bCs/>
          <w:noProof w:val="0"/>
          <w:rtl/>
        </w:rPr>
        <w:t>במדיניות שיפוטית</w:t>
      </w:r>
      <w:r w:rsidRPr="001956B0">
        <w:rPr>
          <w:rFonts w:ascii="David" w:eastAsia="Calibri" w:hAnsi="David"/>
          <w:noProof w:val="0"/>
          <w:rtl/>
        </w:rPr>
        <w:t xml:space="preserve"> שמכבדת את רצון הצדדים להפנות סוגיה מסוימת להכרעתו המחייבת והסופית של צד שלישי, ולסמוך עליו, ללא ערעור, לנוכח הכשרתו המקצועית וזהותו; לעיתים קרובות, ביסוד הבחירה במנגנון הכרעה מסוג זה מצויה תכלית של מהירות ויעילות ההכרעה, ואף לכך יש לתת את הדעת. ראו: ע"א 4341/11 </w:t>
      </w:r>
      <w:r w:rsidRPr="001956B0">
        <w:rPr>
          <w:rFonts w:ascii="David" w:eastAsia="Calibri" w:hAnsi="David"/>
          <w:b/>
          <w:bCs/>
          <w:noProof w:val="0"/>
          <w:rtl/>
        </w:rPr>
        <w:t>יעקב מזרה נ' משה דהן</w:t>
      </w:r>
      <w:r w:rsidRPr="001956B0">
        <w:rPr>
          <w:rFonts w:ascii="David" w:eastAsia="Calibri" w:hAnsi="David"/>
          <w:noProof w:val="0"/>
          <w:rtl/>
        </w:rPr>
        <w:t xml:space="preserve"> (31.12.2012)‏‏; ע"א 1168/07 </w:t>
      </w:r>
      <w:r w:rsidRPr="001956B0">
        <w:rPr>
          <w:rFonts w:ascii="David" w:eastAsia="Calibri" w:hAnsi="David"/>
          <w:b/>
          <w:bCs/>
          <w:noProof w:val="0"/>
          <w:rtl/>
        </w:rPr>
        <w:t>יפה נוף- תחבורה, תשתיות ובניה בע"מ נ' מאיר הפלר, עו"ד</w:t>
      </w:r>
      <w:r w:rsidRPr="001956B0">
        <w:rPr>
          <w:rFonts w:ascii="David" w:eastAsia="Calibri" w:hAnsi="David"/>
          <w:noProof w:val="0"/>
          <w:rtl/>
        </w:rPr>
        <w:t xml:space="preserve"> (01.02.2009)‏, פסקאות 24-25 לפסק הדין (להלן – </w:t>
      </w:r>
      <w:r w:rsidRPr="001956B0">
        <w:rPr>
          <w:rFonts w:ascii="David" w:eastAsia="Calibri" w:hAnsi="David"/>
          <w:b/>
          <w:bCs/>
          <w:noProof w:val="0"/>
          <w:rtl/>
        </w:rPr>
        <w:t>"עניין הפלר</w:t>
      </w:r>
      <w:r w:rsidRPr="001956B0">
        <w:rPr>
          <w:rFonts w:ascii="David" w:eastAsia="Calibri" w:hAnsi="David"/>
          <w:noProof w:val="0"/>
          <w:rtl/>
        </w:rPr>
        <w:t xml:space="preserve">"); ע"א 66/67 </w:t>
      </w:r>
      <w:r w:rsidRPr="001956B0">
        <w:rPr>
          <w:rFonts w:ascii="David" w:eastAsia="Calibri" w:hAnsi="David"/>
          <w:b/>
          <w:bCs/>
          <w:noProof w:val="0"/>
          <w:rtl/>
        </w:rPr>
        <w:t>גלובוס למזרח, תעשייני עטים וצרכי משרד  בע"מ נ' רולקס בע"מ</w:t>
      </w:r>
      <w:r w:rsidRPr="001956B0">
        <w:rPr>
          <w:rFonts w:ascii="David" w:eastAsia="Calibri" w:hAnsi="David"/>
          <w:noProof w:val="0"/>
          <w:rtl/>
        </w:rPr>
        <w:t>, פ"ד כא(2) 146 (1967).</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2E63EF">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יפים לעניין זה דברי בית המשפט בעניין </w:t>
      </w:r>
      <w:r w:rsidRPr="00F63EDC">
        <w:rPr>
          <w:rFonts w:ascii="David" w:eastAsia="Calibri" w:hAnsi="David"/>
          <w:b/>
          <w:bCs/>
          <w:noProof w:val="0"/>
          <w:rtl/>
        </w:rPr>
        <w:t>הפלר</w:t>
      </w:r>
      <w:r w:rsidRPr="001956B0">
        <w:rPr>
          <w:rFonts w:ascii="David" w:eastAsia="Calibri" w:hAnsi="David"/>
          <w:noProof w:val="0"/>
          <w:rtl/>
        </w:rPr>
        <w:t>, לפיהם: "</w:t>
      </w:r>
      <w:r w:rsidRPr="001956B0">
        <w:rPr>
          <w:rFonts w:ascii="David" w:eastAsia="Calibri" w:hAnsi="David"/>
          <w:b/>
          <w:bCs/>
          <w:noProof w:val="0"/>
          <w:rtl/>
        </w:rPr>
        <w:t xml:space="preserve">פרט למקרים כאמור, אין מקום להתיר לצדדים להשיג על שיקול דעתו המקצועי של שמאי או מעריך על מנת להגיע לתוצאות הרצויות להם... במידה שמסקנותיו נוגעות </w:t>
      </w:r>
      <w:r w:rsidR="00522738" w:rsidRPr="001956B0">
        <w:rPr>
          <w:rFonts w:ascii="David" w:eastAsia="Calibri" w:hAnsi="David" w:hint="cs"/>
          <w:b/>
          <w:bCs/>
          <w:noProof w:val="0"/>
          <w:rtl/>
        </w:rPr>
        <w:t>לענייני</w:t>
      </w:r>
      <w:r w:rsidR="00522738" w:rsidRPr="001956B0">
        <w:rPr>
          <w:rFonts w:ascii="David" w:eastAsia="Calibri" w:hAnsi="David" w:hint="eastAsia"/>
          <w:b/>
          <w:bCs/>
          <w:noProof w:val="0"/>
          <w:rtl/>
        </w:rPr>
        <w:t>ם</w:t>
      </w:r>
      <w:r w:rsidRPr="001956B0">
        <w:rPr>
          <w:rFonts w:ascii="David" w:eastAsia="Calibri" w:hAnsi="David"/>
          <w:b/>
          <w:bCs/>
          <w:noProof w:val="0"/>
          <w:rtl/>
        </w:rPr>
        <w:t xml:space="preserve"> שבשיקול דעת, אין להרשות </w:t>
      </w:r>
      <w:r w:rsidRPr="001956B0">
        <w:rPr>
          <w:rFonts w:ascii="David" w:eastAsia="Calibri" w:hAnsi="David"/>
          <w:b/>
          <w:bCs/>
          <w:noProof w:val="0"/>
          <w:rtl/>
        </w:rPr>
        <w:lastRenderedPageBreak/>
        <w:t>ויכוח על כך אם שיקול דעתו היה פגום, ואף טעות שהוא טעה בתום לב בענין שבשיקול דעת אין בה כדי להצדיק את שינוי מסקנותיו. הטעם לדבר הוא שבענינים אלה התכוונו הצדדים לסמוך ללא ערעור על הכשרתו המקצועית של האיש שנבחר על-ידם</w:t>
      </w:r>
      <w:r w:rsidRPr="001956B0">
        <w:rPr>
          <w:rFonts w:ascii="David" w:eastAsia="Calibri" w:hAnsi="David"/>
          <w:noProof w:val="0"/>
          <w:rtl/>
        </w:rPr>
        <w:t xml:space="preserve">". </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7819F4">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בענייננו אנו - הצדדים המשיכו וקבעו בהסכם ביניהם מפורשות, כי: </w:t>
      </w:r>
      <w:r w:rsidRPr="001956B0">
        <w:rPr>
          <w:rFonts w:ascii="David" w:eastAsia="Calibri" w:hAnsi="David"/>
          <w:b/>
          <w:bCs/>
          <w:noProof w:val="0"/>
          <w:rtl/>
        </w:rPr>
        <w:t>"..</w:t>
      </w:r>
      <w:r w:rsidRPr="001956B0">
        <w:rPr>
          <w:rFonts w:ascii="David" w:eastAsia="Calibri" w:hAnsi="David"/>
          <w:b/>
          <w:bCs/>
          <w:noProof w:val="0"/>
          <w:u w:val="single"/>
          <w:rtl/>
        </w:rPr>
        <w:t>אך</w:t>
      </w:r>
      <w:r w:rsidRPr="001956B0">
        <w:rPr>
          <w:rFonts w:ascii="David" w:eastAsia="Calibri" w:hAnsi="David"/>
          <w:b/>
          <w:bCs/>
          <w:noProof w:val="0"/>
          <w:rtl/>
        </w:rPr>
        <w:t xml:space="preserve"> ככל שתעלינה </w:t>
      </w:r>
      <w:r w:rsidRPr="001956B0">
        <w:rPr>
          <w:rFonts w:ascii="David" w:eastAsia="Calibri" w:hAnsi="David"/>
          <w:b/>
          <w:bCs/>
          <w:noProof w:val="0"/>
          <w:u w:val="single"/>
          <w:rtl/>
        </w:rPr>
        <w:t>סוגיות משפטיות ו/או טעויות סופר</w:t>
      </w:r>
      <w:r w:rsidRPr="001956B0">
        <w:rPr>
          <w:rFonts w:ascii="David" w:eastAsia="Calibri" w:hAnsi="David"/>
          <w:b/>
          <w:bCs/>
          <w:noProof w:val="0"/>
          <w:rtl/>
        </w:rPr>
        <w:t xml:space="preserve"> בקשר עם מסקנות האקטואר הם יוכלו לפנות בנדון בבקשה לביהמ"ש אשר תוכרע מהרה בתום הליך של בקשה- תגובה ותשובה לבקשה (עם דיון או בלעדיו)".</w:t>
      </w:r>
      <w:r w:rsidRPr="001956B0">
        <w:rPr>
          <w:rFonts w:ascii="David" w:eastAsia="Calibri" w:hAnsi="David"/>
          <w:noProof w:val="0"/>
          <w:rtl/>
        </w:rPr>
        <w:t xml:space="preserve">  (סעיף 3 להסכם; ההדגשה אינה במקור – ה.ג.).</w:t>
      </w:r>
    </w:p>
    <w:p w:rsidR="001956B0" w:rsidRPr="001956B0" w:rsidRDefault="001956B0" w:rsidP="001956B0">
      <w:pPr>
        <w:spacing w:line="360" w:lineRule="auto"/>
        <w:ind w:left="720"/>
        <w:contextualSpacing/>
        <w:jc w:val="both"/>
        <w:rPr>
          <w:rFonts w:ascii="David" w:eastAsia="Calibri" w:hAnsi="David"/>
          <w:noProof w:val="0"/>
        </w:rPr>
      </w:pPr>
    </w:p>
    <w:p w:rsidR="001956B0" w:rsidRPr="001956B0" w:rsidRDefault="001956B0" w:rsidP="001956B0">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 xml:space="preserve">התובע טען לעניין זה כי במקרה דנן מלבד הסכמת הצדדים לפיה חוות דעת המומחה תחייב אותם, הם קבעו מפורשות כי הם יוכלו לחלוק עליה בפני בית המשפט רק במקרה של מחלוקות </w:t>
      </w:r>
      <w:r w:rsidRPr="001956B0">
        <w:rPr>
          <w:rFonts w:ascii="David" w:eastAsia="Calibri" w:hAnsi="David"/>
          <w:b/>
          <w:bCs/>
          <w:noProof w:val="0"/>
          <w:rtl/>
        </w:rPr>
        <w:t>בסוגיות משפטיות</w:t>
      </w:r>
      <w:r w:rsidRPr="001956B0">
        <w:rPr>
          <w:rFonts w:ascii="David" w:eastAsia="Calibri" w:hAnsi="David"/>
          <w:noProof w:val="0"/>
          <w:rtl/>
        </w:rPr>
        <w:t xml:space="preserve"> או של </w:t>
      </w:r>
      <w:r w:rsidRPr="001956B0">
        <w:rPr>
          <w:rFonts w:ascii="David" w:eastAsia="Calibri" w:hAnsi="David"/>
          <w:b/>
          <w:bCs/>
          <w:noProof w:val="0"/>
          <w:rtl/>
        </w:rPr>
        <w:t>טעות סופר</w:t>
      </w:r>
      <w:r w:rsidRPr="001956B0">
        <w:rPr>
          <w:rFonts w:ascii="David" w:eastAsia="Calibri" w:hAnsi="David"/>
          <w:noProof w:val="0"/>
          <w:rtl/>
        </w:rPr>
        <w:t>. לא מצאתי כל התייחסות לעניין זה בסיכומי התשובה שהוגשו מטעם הנתבעת ולפיכך ניתן להסיק כי היא מסכימה לפרשנות זו של התובע, שממילא עולה בקנה אחד עם לשון ההסכם.</w:t>
      </w:r>
    </w:p>
    <w:p w:rsidR="001956B0" w:rsidRPr="001956B0" w:rsidRDefault="001956B0" w:rsidP="001956B0">
      <w:pPr>
        <w:spacing w:after="160" w:line="256" w:lineRule="auto"/>
        <w:ind w:left="720"/>
        <w:contextualSpacing/>
        <w:rPr>
          <w:rFonts w:ascii="David" w:eastAsia="Calibri" w:hAnsi="David"/>
          <w:noProof w:val="0"/>
          <w:rtl/>
        </w:rPr>
      </w:pPr>
    </w:p>
    <w:p w:rsidR="001956B0" w:rsidRPr="001956B0" w:rsidRDefault="001956B0" w:rsidP="001956B0">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הנה כי כן, יש לבחון את השגות הצדדים על חוות הדעת דנן על רקע האמור ולהלן אדרש לשלל ההשגות שהועלו מטעמם. </w:t>
      </w:r>
    </w:p>
    <w:p w:rsidR="001956B0" w:rsidRPr="001956B0" w:rsidRDefault="001956B0" w:rsidP="001956B0">
      <w:pPr>
        <w:spacing w:line="360" w:lineRule="auto"/>
        <w:ind w:left="720"/>
        <w:contextualSpacing/>
        <w:jc w:val="both"/>
        <w:rPr>
          <w:rFonts w:ascii="David" w:eastAsia="Calibri" w:hAnsi="David"/>
          <w:noProof w:val="0"/>
        </w:rPr>
      </w:pPr>
    </w:p>
    <w:p w:rsidR="00030266" w:rsidRDefault="00030266" w:rsidP="001956B0">
      <w:pPr>
        <w:spacing w:line="360" w:lineRule="auto"/>
        <w:jc w:val="both"/>
        <w:rPr>
          <w:rFonts w:ascii="David" w:eastAsia="Calibri" w:hAnsi="David"/>
          <w:b/>
          <w:bCs/>
          <w:noProof w:val="0"/>
          <w:sz w:val="26"/>
          <w:szCs w:val="26"/>
          <w:u w:val="single"/>
          <w:rtl/>
        </w:rPr>
      </w:pPr>
    </w:p>
    <w:p w:rsidR="00030266" w:rsidRDefault="00030266" w:rsidP="001956B0">
      <w:pPr>
        <w:spacing w:line="360" w:lineRule="auto"/>
        <w:jc w:val="both"/>
        <w:rPr>
          <w:rFonts w:ascii="David" w:eastAsia="Calibri" w:hAnsi="David"/>
          <w:b/>
          <w:bCs/>
          <w:noProof w:val="0"/>
          <w:sz w:val="26"/>
          <w:szCs w:val="26"/>
          <w:u w:val="single"/>
          <w:rtl/>
        </w:rPr>
      </w:pPr>
    </w:p>
    <w:p w:rsidR="00DB78E9" w:rsidRDefault="00DB78E9" w:rsidP="001956B0">
      <w:pPr>
        <w:spacing w:line="360" w:lineRule="auto"/>
        <w:jc w:val="both"/>
        <w:rPr>
          <w:rFonts w:ascii="David" w:eastAsia="Calibri" w:hAnsi="David"/>
          <w:b/>
          <w:bCs/>
          <w:noProof w:val="0"/>
          <w:sz w:val="26"/>
          <w:szCs w:val="26"/>
          <w:u w:val="single"/>
          <w:rtl/>
        </w:rPr>
      </w:pPr>
    </w:p>
    <w:p w:rsidR="00DB78E9" w:rsidRDefault="00DB78E9" w:rsidP="001956B0">
      <w:pPr>
        <w:spacing w:line="360" w:lineRule="auto"/>
        <w:jc w:val="both"/>
        <w:rPr>
          <w:rFonts w:ascii="David" w:eastAsia="Calibri" w:hAnsi="David"/>
          <w:b/>
          <w:bCs/>
          <w:noProof w:val="0"/>
          <w:sz w:val="26"/>
          <w:szCs w:val="26"/>
          <w:u w:val="single"/>
          <w:rtl/>
        </w:rPr>
      </w:pPr>
    </w:p>
    <w:p w:rsidR="001956B0" w:rsidRPr="0076725E" w:rsidRDefault="001956B0" w:rsidP="001956B0">
      <w:pPr>
        <w:spacing w:line="360" w:lineRule="auto"/>
        <w:jc w:val="both"/>
        <w:rPr>
          <w:rFonts w:ascii="David" w:eastAsia="Calibri" w:hAnsi="David"/>
          <w:b/>
          <w:bCs/>
          <w:noProof w:val="0"/>
          <w:sz w:val="26"/>
          <w:szCs w:val="26"/>
          <w:u w:val="single"/>
          <w:rtl/>
        </w:rPr>
      </w:pPr>
      <w:r w:rsidRPr="0076725E">
        <w:rPr>
          <w:rFonts w:ascii="David" w:eastAsia="Calibri" w:hAnsi="David"/>
          <w:b/>
          <w:bCs/>
          <w:noProof w:val="0"/>
          <w:sz w:val="26"/>
          <w:szCs w:val="26"/>
          <w:u w:val="single"/>
          <w:rtl/>
        </w:rPr>
        <w:t>גיל פרישה של האישה לצורך חישוב הזכויות הסוציאליות</w:t>
      </w:r>
    </w:p>
    <w:p w:rsidR="001956B0" w:rsidRPr="001956B0" w:rsidRDefault="001956B0" w:rsidP="001956B0">
      <w:pPr>
        <w:spacing w:line="360" w:lineRule="auto"/>
        <w:ind w:left="720"/>
        <w:contextualSpacing/>
        <w:jc w:val="both"/>
        <w:rPr>
          <w:rFonts w:ascii="David" w:eastAsia="Calibri" w:hAnsi="David"/>
          <w:noProof w:val="0"/>
          <w:rtl/>
        </w:rPr>
      </w:pPr>
    </w:p>
    <w:p w:rsidR="0083704F" w:rsidRDefault="0083704F" w:rsidP="00030266">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כאמור, על מנת להגדיר את זכויות הפנסיה התקציבית של </w:t>
      </w:r>
      <w:r w:rsidR="00030266">
        <w:rPr>
          <w:rFonts w:ascii="David" w:eastAsia="Calibri" w:hAnsi="David" w:hint="cs"/>
          <w:noProof w:val="0"/>
          <w:rtl/>
        </w:rPr>
        <w:t>כל אחד מהצדדים</w:t>
      </w:r>
      <w:r>
        <w:rPr>
          <w:rFonts w:ascii="David" w:eastAsia="Calibri" w:hAnsi="David" w:hint="cs"/>
          <w:noProof w:val="0"/>
          <w:rtl/>
        </w:rPr>
        <w:t xml:space="preserve">, יש לקבוע מהו מועד תחילת תשלום הזכות. </w:t>
      </w:r>
    </w:p>
    <w:p w:rsidR="00030266" w:rsidRDefault="00030266" w:rsidP="00030266">
      <w:pPr>
        <w:spacing w:after="160" w:line="360" w:lineRule="auto"/>
        <w:ind w:left="720"/>
        <w:contextualSpacing/>
        <w:jc w:val="both"/>
        <w:rPr>
          <w:rFonts w:ascii="David" w:eastAsia="Calibri" w:hAnsi="David"/>
          <w:noProof w:val="0"/>
        </w:rPr>
      </w:pPr>
    </w:p>
    <w:p w:rsidR="00EE0301" w:rsidRPr="00EE0301" w:rsidRDefault="0083704F" w:rsidP="001956B0">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בעניינו, </w:t>
      </w:r>
      <w:r w:rsidR="00EE0301">
        <w:rPr>
          <w:rFonts w:ascii="David" w:eastAsia="Calibri" w:hAnsi="David" w:hint="cs"/>
          <w:noProof w:val="0"/>
          <w:rtl/>
        </w:rPr>
        <w:t xml:space="preserve">הצדדים חלוקים בדבר גיל הפרישה של האישה על פיו יש לערוך את ההיוון, האם גיל </w:t>
      </w:r>
      <w:r w:rsidR="00EE0301" w:rsidRPr="00BE6379">
        <w:rPr>
          <w:rFonts w:ascii="David" w:eastAsia="Calibri" w:hAnsi="David" w:hint="cs"/>
          <w:b/>
          <w:bCs/>
          <w:noProof w:val="0"/>
          <w:rtl/>
        </w:rPr>
        <w:t>הזכאות</w:t>
      </w:r>
      <w:r w:rsidR="00EE0301">
        <w:rPr>
          <w:rFonts w:ascii="David" w:eastAsia="Calibri" w:hAnsi="David" w:hint="cs"/>
          <w:noProof w:val="0"/>
          <w:rtl/>
        </w:rPr>
        <w:t xml:space="preserve"> לפרישה (63.25) או גיל </w:t>
      </w:r>
      <w:r w:rsidR="00EE0301" w:rsidRPr="00BE6379">
        <w:rPr>
          <w:rFonts w:ascii="David" w:eastAsia="Calibri" w:hAnsi="David" w:hint="cs"/>
          <w:b/>
          <w:bCs/>
          <w:noProof w:val="0"/>
          <w:rtl/>
        </w:rPr>
        <w:t>חובת</w:t>
      </w:r>
      <w:r w:rsidR="00EE0301">
        <w:rPr>
          <w:rFonts w:ascii="David" w:eastAsia="Calibri" w:hAnsi="David" w:hint="cs"/>
          <w:noProof w:val="0"/>
          <w:rtl/>
        </w:rPr>
        <w:t xml:space="preserve"> פרישה (67), כא</w:t>
      </w:r>
      <w:r w:rsidR="000D79AC">
        <w:rPr>
          <w:rFonts w:ascii="David" w:eastAsia="Calibri" w:hAnsi="David" w:hint="cs"/>
          <w:noProof w:val="0"/>
          <w:rtl/>
        </w:rPr>
        <w:t>שר המומחה הביא בחוות דעתו את שתי החלופות.</w:t>
      </w:r>
    </w:p>
    <w:p w:rsidR="00EE0301" w:rsidRPr="000D79AC" w:rsidRDefault="00EE0301" w:rsidP="00EE0301">
      <w:pPr>
        <w:spacing w:after="160" w:line="360" w:lineRule="auto"/>
        <w:ind w:left="720"/>
        <w:contextualSpacing/>
        <w:jc w:val="both"/>
        <w:rPr>
          <w:rFonts w:ascii="David" w:eastAsia="Calibri" w:hAnsi="David"/>
          <w:noProof w:val="0"/>
        </w:rPr>
      </w:pPr>
    </w:p>
    <w:p w:rsidR="001956B0" w:rsidRPr="00796EDD" w:rsidRDefault="001956B0" w:rsidP="00F63EDC">
      <w:pPr>
        <w:numPr>
          <w:ilvl w:val="0"/>
          <w:numId w:val="1"/>
        </w:numPr>
        <w:spacing w:after="160" w:line="360" w:lineRule="auto"/>
        <w:contextualSpacing/>
        <w:jc w:val="both"/>
        <w:rPr>
          <w:rFonts w:ascii="David" w:eastAsia="Calibri" w:hAnsi="David"/>
          <w:noProof w:val="0"/>
        </w:rPr>
      </w:pPr>
      <w:r w:rsidRPr="00796EDD">
        <w:rPr>
          <w:rFonts w:ascii="David" w:eastAsia="Calibri" w:hAnsi="David"/>
          <w:b/>
          <w:bCs/>
          <w:noProof w:val="0"/>
          <w:rtl/>
        </w:rPr>
        <w:t>לטענת הנתבעת</w:t>
      </w:r>
      <w:r w:rsidRPr="00796EDD">
        <w:rPr>
          <w:rFonts w:ascii="David" w:eastAsia="Calibri" w:hAnsi="David"/>
          <w:noProof w:val="0"/>
          <w:rtl/>
        </w:rPr>
        <w:t>, יש להורות למומחה לערוך החישוב לפי גיל 67</w:t>
      </w:r>
      <w:r w:rsidR="000D79AC" w:rsidRPr="00796EDD">
        <w:rPr>
          <w:rFonts w:ascii="David" w:eastAsia="Calibri" w:hAnsi="David" w:hint="cs"/>
          <w:noProof w:val="0"/>
          <w:rtl/>
        </w:rPr>
        <w:t>,</w:t>
      </w:r>
      <w:r w:rsidRPr="00796EDD">
        <w:rPr>
          <w:rFonts w:ascii="David" w:eastAsia="Calibri" w:hAnsi="David"/>
          <w:noProof w:val="0"/>
          <w:rtl/>
        </w:rPr>
        <w:t xml:space="preserve"> מאחר וגיל פרישה </w:t>
      </w:r>
      <w:r w:rsidRPr="00796EDD">
        <w:rPr>
          <w:rFonts w:ascii="David" w:eastAsia="Calibri" w:hAnsi="David"/>
          <w:bCs/>
          <w:noProof w:val="0"/>
          <w:rtl/>
        </w:rPr>
        <w:t>חובה</w:t>
      </w:r>
      <w:r w:rsidRPr="00796EDD">
        <w:rPr>
          <w:rFonts w:ascii="David" w:eastAsia="Calibri" w:hAnsi="David"/>
          <w:noProof w:val="0"/>
          <w:rtl/>
        </w:rPr>
        <w:t xml:space="preserve"> על פי חוק שירות המדינה (גמלאות) הוא 67, ללא הבחנה בין גבר לאישה. לדבריה, עדכון החלופה של גיל הפרישה שלה ל-67 יעלה לבדו את סכום האיזון בסך של 289,842 ₪ כפי שהעיד המומחה (שורה 33 עמ' 22 לפרוטוקול). לפיכך יש </w:t>
      </w:r>
      <w:r w:rsidR="0072046E" w:rsidRPr="00796EDD">
        <w:rPr>
          <w:rFonts w:ascii="David" w:eastAsia="Calibri" w:hAnsi="David" w:hint="cs"/>
          <w:noProof w:val="0"/>
          <w:rtl/>
        </w:rPr>
        <w:t>לערוך את ה</w:t>
      </w:r>
      <w:r w:rsidR="000D79AC" w:rsidRPr="00796EDD">
        <w:rPr>
          <w:rFonts w:ascii="David" w:eastAsia="Calibri" w:hAnsi="David" w:hint="cs"/>
          <w:noProof w:val="0"/>
          <w:rtl/>
        </w:rPr>
        <w:t xml:space="preserve">יון הפנסיה לגיל </w:t>
      </w:r>
      <w:r w:rsidRPr="00796EDD">
        <w:rPr>
          <w:rFonts w:ascii="David" w:eastAsia="Calibri" w:hAnsi="David"/>
          <w:noProof w:val="0"/>
          <w:rtl/>
        </w:rPr>
        <w:t xml:space="preserve">67 </w:t>
      </w:r>
      <w:r w:rsidR="000D79AC" w:rsidRPr="00796EDD">
        <w:rPr>
          <w:rFonts w:ascii="David" w:eastAsia="Calibri" w:hAnsi="David" w:hint="cs"/>
          <w:noProof w:val="0"/>
          <w:rtl/>
        </w:rPr>
        <w:t xml:space="preserve">עבור </w:t>
      </w:r>
      <w:r w:rsidRPr="00796EDD">
        <w:rPr>
          <w:rFonts w:ascii="David" w:eastAsia="Calibri" w:hAnsi="David"/>
          <w:noProof w:val="0"/>
          <w:rtl/>
        </w:rPr>
        <w:t xml:space="preserve">שני הצדדים. הנתבעת הפנתה לעניין זה </w:t>
      </w:r>
      <w:r w:rsidR="00796EDD" w:rsidRPr="00796EDD">
        <w:rPr>
          <w:rFonts w:ascii="David" w:eastAsia="Calibri" w:hAnsi="David" w:hint="cs"/>
          <w:noProof w:val="0"/>
          <w:rtl/>
        </w:rPr>
        <w:t>ל</w:t>
      </w:r>
      <w:r w:rsidR="00796EDD" w:rsidRPr="00796EDD">
        <w:rPr>
          <w:rFonts w:ascii="David" w:eastAsia="Calibri" w:hAnsi="David"/>
          <w:noProof w:val="0"/>
          <w:rtl/>
        </w:rPr>
        <w:t xml:space="preserve">בג"ץ 10076/02 </w:t>
      </w:r>
      <w:r w:rsidR="00796EDD" w:rsidRPr="00796EDD">
        <w:rPr>
          <w:rFonts w:ascii="David" w:eastAsia="Calibri" w:hAnsi="David"/>
          <w:b/>
          <w:bCs/>
          <w:noProof w:val="0"/>
          <w:rtl/>
        </w:rPr>
        <w:t>ד"ר יורי רוזנבאום נ' נציב שירות בתי הסוהר</w:t>
      </w:r>
      <w:r w:rsidR="00796EDD" w:rsidRPr="00796EDD">
        <w:rPr>
          <w:rFonts w:ascii="David" w:eastAsia="Calibri" w:hAnsi="David"/>
          <w:noProof w:val="0"/>
          <w:rtl/>
        </w:rPr>
        <w:t>, סא(3) 857 (2006)</w:t>
      </w:r>
      <w:r w:rsidRPr="00796EDD">
        <w:rPr>
          <w:rFonts w:ascii="David" w:eastAsia="Calibri" w:hAnsi="David"/>
          <w:noProof w:val="0"/>
          <w:rtl/>
        </w:rPr>
        <w:t xml:space="preserve">, </w:t>
      </w:r>
      <w:r w:rsidR="00796EDD" w:rsidRPr="00796EDD">
        <w:rPr>
          <w:rFonts w:ascii="David" w:eastAsia="Calibri" w:hAnsi="David" w:hint="cs"/>
          <w:noProof w:val="0"/>
          <w:rtl/>
        </w:rPr>
        <w:t>ול</w:t>
      </w:r>
      <w:r w:rsidR="00796EDD" w:rsidRPr="00796EDD">
        <w:rPr>
          <w:rFonts w:ascii="David" w:eastAsia="Calibri" w:hAnsi="David"/>
          <w:noProof w:val="0"/>
          <w:rtl/>
        </w:rPr>
        <w:t xml:space="preserve">בג"ץ 1268/09 </w:t>
      </w:r>
      <w:r w:rsidR="00796EDD" w:rsidRPr="00796EDD">
        <w:rPr>
          <w:rFonts w:ascii="David" w:eastAsia="Calibri" w:hAnsi="David"/>
          <w:b/>
          <w:bCs/>
          <w:noProof w:val="0"/>
          <w:rtl/>
        </w:rPr>
        <w:t>לאה זוזל נ' נציב שירות בתי הסוהר</w:t>
      </w:r>
      <w:r w:rsidR="00796EDD" w:rsidRPr="00796EDD">
        <w:rPr>
          <w:rFonts w:ascii="David" w:eastAsia="Calibri" w:hAnsi="David"/>
          <w:noProof w:val="0"/>
          <w:rtl/>
        </w:rPr>
        <w:t>, סה(3) 688 (2012)</w:t>
      </w:r>
    </w:p>
    <w:p w:rsidR="001956B0" w:rsidRPr="001956B0" w:rsidRDefault="001956B0" w:rsidP="001956B0">
      <w:pPr>
        <w:spacing w:line="360" w:lineRule="auto"/>
        <w:jc w:val="both"/>
        <w:rPr>
          <w:rFonts w:ascii="David" w:eastAsia="Calibri" w:hAnsi="David"/>
          <w:noProof w:val="0"/>
          <w:rtl/>
        </w:rPr>
      </w:pPr>
    </w:p>
    <w:p w:rsidR="000D79AC" w:rsidRDefault="001956B0" w:rsidP="000D79AC">
      <w:pPr>
        <w:numPr>
          <w:ilvl w:val="0"/>
          <w:numId w:val="1"/>
        </w:numPr>
        <w:spacing w:after="160" w:line="360" w:lineRule="auto"/>
        <w:contextualSpacing/>
        <w:jc w:val="both"/>
        <w:rPr>
          <w:rFonts w:ascii="David" w:eastAsia="Calibri" w:hAnsi="David"/>
          <w:noProof w:val="0"/>
        </w:rPr>
      </w:pPr>
      <w:r w:rsidRPr="00C47406">
        <w:rPr>
          <w:rFonts w:ascii="David" w:eastAsia="Calibri" w:hAnsi="David"/>
          <w:b/>
          <w:bCs/>
          <w:noProof w:val="0"/>
          <w:rtl/>
        </w:rPr>
        <w:t xml:space="preserve">התובע </w:t>
      </w:r>
      <w:r w:rsidRPr="001956B0">
        <w:rPr>
          <w:rFonts w:ascii="David" w:eastAsia="Calibri" w:hAnsi="David"/>
          <w:noProof w:val="0"/>
          <w:rtl/>
        </w:rPr>
        <w:t xml:space="preserve">טען מנגד כי אין כל מקום להוון את זכויות הנתבעת ביחס לגיל 67 כנטען, כאשר הדין הנוהג הוא לבצע היוון עד גיל </w:t>
      </w:r>
      <w:r w:rsidRPr="001956B0">
        <w:rPr>
          <w:rFonts w:ascii="David" w:eastAsia="Calibri" w:hAnsi="David"/>
          <w:b/>
          <w:bCs/>
          <w:noProof w:val="0"/>
          <w:rtl/>
        </w:rPr>
        <w:t xml:space="preserve">זכאות </w:t>
      </w:r>
      <w:r w:rsidRPr="001956B0">
        <w:rPr>
          <w:rFonts w:ascii="David" w:eastAsia="Calibri" w:hAnsi="David"/>
          <w:noProof w:val="0"/>
          <w:rtl/>
        </w:rPr>
        <w:t xml:space="preserve">לפרישה, שהינו 62, נכון למועד הקובע לאיזון, ו-62.67 לאישה בגילה של הנתבעת כיום לאור שינוי גיל הפרישה לאחרונה. התובע הפנה </w:t>
      </w:r>
      <w:r w:rsidRPr="001956B0">
        <w:rPr>
          <w:rFonts w:ascii="David" w:eastAsia="Calibri" w:hAnsi="David"/>
          <w:noProof w:val="0"/>
          <w:rtl/>
        </w:rPr>
        <w:lastRenderedPageBreak/>
        <w:t>להוראות</w:t>
      </w:r>
      <w:r w:rsidR="000D79AC">
        <w:rPr>
          <w:rFonts w:ascii="David" w:eastAsia="Calibri" w:hAnsi="David" w:hint="cs"/>
          <w:noProof w:val="0"/>
          <w:rtl/>
        </w:rPr>
        <w:t xml:space="preserve"> סעיפים </w:t>
      </w:r>
      <w:r w:rsidRPr="001956B0">
        <w:rPr>
          <w:rFonts w:ascii="David" w:eastAsia="Calibri" w:hAnsi="David"/>
          <w:noProof w:val="0"/>
          <w:rtl/>
        </w:rPr>
        <w:t xml:space="preserve"> 3-4 </w:t>
      </w:r>
      <w:r w:rsidRPr="001956B0">
        <w:rPr>
          <w:rFonts w:ascii="David" w:eastAsia="Calibri" w:hAnsi="David"/>
          <w:b/>
          <w:bCs/>
          <w:noProof w:val="0"/>
          <w:rtl/>
        </w:rPr>
        <w:t>לחוק גיל פרישה</w:t>
      </w:r>
      <w:r w:rsidRPr="001956B0">
        <w:rPr>
          <w:rFonts w:ascii="David" w:eastAsia="Calibri" w:hAnsi="David"/>
          <w:noProof w:val="0"/>
          <w:rtl/>
        </w:rPr>
        <w:t xml:space="preserve">, תשס"ד – 2004, אשר מאבחן בין גיל זכאות לפרישה לבין גיל חובת פרישה. בהתאם לסעיף 6(2) לחוק, גיל פרישה לאישה שנולדה בין 1.1.1961 ל-31.12.1961, כמו הנתבעת במקרה דנן, הוא </w:t>
      </w:r>
      <w:r w:rsidRPr="000D79AC">
        <w:rPr>
          <w:rFonts w:ascii="David" w:eastAsia="Calibri" w:hAnsi="David"/>
          <w:noProof w:val="0"/>
          <w:u w:val="single"/>
          <w:rtl/>
        </w:rPr>
        <w:t xml:space="preserve">62.8 </w:t>
      </w:r>
      <w:r w:rsidRPr="001956B0">
        <w:rPr>
          <w:rFonts w:ascii="David" w:eastAsia="Calibri" w:hAnsi="David"/>
          <w:noProof w:val="0"/>
          <w:rtl/>
        </w:rPr>
        <w:t xml:space="preserve">ולא 63.3 כפי שנכתב בשוגג על ידי המומחה. </w:t>
      </w:r>
    </w:p>
    <w:p w:rsidR="000D79AC" w:rsidRDefault="000D79AC" w:rsidP="000D79AC">
      <w:pPr>
        <w:pStyle w:val="ad"/>
        <w:rPr>
          <w:rFonts w:ascii="David" w:eastAsia="Calibri" w:hAnsi="David"/>
          <w:noProof w:val="0"/>
          <w:rtl/>
        </w:rPr>
      </w:pPr>
    </w:p>
    <w:p w:rsidR="001956B0" w:rsidRPr="001956B0" w:rsidRDefault="001956B0" w:rsidP="000D79AC">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לדבריו, הנתבעת תוכל להמשיך ולעבוד גם לאחר הגיל האמור עד לגיל 67 ולכן אין כל פגיעה בזכויותיה לפי חוק גיל פרישה או פגיעה בשוויון. לעומת זאת, אימוץ שיטת הנתבעת לפיה ההיוון הוא לגיל 67 יקפח אותו בצורה דראסטית ויביא לעוול של ממש כפי שהבהיר המומחה בחקירתו (שורות 6-8 עמ' 30 לפרוטוקול). בנסיבות אלה כאשר ברור שמבחינת צבירת מלוא זכויות הפנסיה לנתבעת לא יהא אינטרס להמשיך לעבוד מעבר לגיל בו היא זכאית לפרוש ולממשן (62.8), המומחה נהג כשורה כשאימץ את גיל הזכאות לפרישה (גם אם בטעות של 7 חודשים בין הגיל הנקוב בחוק לבין הגיל אותו ציין בחוות דעתו כגיל הקובע לצורך חישובו).</w:t>
      </w:r>
    </w:p>
    <w:p w:rsidR="001956B0" w:rsidRPr="001956B0" w:rsidRDefault="001956B0" w:rsidP="001956B0">
      <w:pPr>
        <w:spacing w:after="160" w:line="256" w:lineRule="auto"/>
        <w:ind w:left="720"/>
        <w:contextualSpacing/>
        <w:rPr>
          <w:rFonts w:ascii="David" w:eastAsia="Calibri" w:hAnsi="David"/>
          <w:noProof w:val="0"/>
        </w:rPr>
      </w:pPr>
    </w:p>
    <w:p w:rsidR="001956B0" w:rsidRDefault="001956B0" w:rsidP="000D79AC">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עוד טען התובע לעניין זה</w:t>
      </w:r>
      <w:r w:rsidR="0083704F">
        <w:rPr>
          <w:rFonts w:ascii="David" w:eastAsia="Calibri" w:hAnsi="David" w:hint="cs"/>
          <w:noProof w:val="0"/>
          <w:rtl/>
        </w:rPr>
        <w:t>,</w:t>
      </w:r>
      <w:r w:rsidRPr="001956B0">
        <w:rPr>
          <w:rFonts w:ascii="David" w:eastAsia="Calibri" w:hAnsi="David"/>
          <w:noProof w:val="0"/>
          <w:rtl/>
        </w:rPr>
        <w:t xml:space="preserve"> כי</w:t>
      </w:r>
      <w:r w:rsidR="000D79AC">
        <w:rPr>
          <w:rFonts w:ascii="David" w:eastAsia="Calibri" w:hAnsi="David" w:hint="cs"/>
          <w:noProof w:val="0"/>
          <w:rtl/>
        </w:rPr>
        <w:t xml:space="preserve"> היות והוא שותף לכספי הפנסיה שנצברו, </w:t>
      </w:r>
      <w:r w:rsidRPr="001956B0">
        <w:rPr>
          <w:rFonts w:ascii="David" w:eastAsia="Calibri" w:hAnsi="David"/>
          <w:noProof w:val="0"/>
          <w:rtl/>
        </w:rPr>
        <w:t xml:space="preserve"> הנתבע</w:t>
      </w:r>
      <w:r w:rsidR="00404A3A">
        <w:rPr>
          <w:rFonts w:ascii="David" w:eastAsia="Calibri" w:hAnsi="David" w:hint="cs"/>
          <w:noProof w:val="0"/>
          <w:rtl/>
        </w:rPr>
        <w:t>ת</w:t>
      </w:r>
      <w:r w:rsidRPr="001956B0">
        <w:rPr>
          <w:rFonts w:ascii="David" w:eastAsia="Calibri" w:hAnsi="David"/>
          <w:noProof w:val="0"/>
          <w:rtl/>
        </w:rPr>
        <w:t xml:space="preserve"> אינה סוברנית להחליט </w:t>
      </w:r>
      <w:r w:rsidR="000D79AC">
        <w:rPr>
          <w:rFonts w:ascii="David" w:eastAsia="Calibri" w:hAnsi="David" w:hint="cs"/>
          <w:noProof w:val="0"/>
          <w:rtl/>
        </w:rPr>
        <w:t xml:space="preserve">בעצמה </w:t>
      </w:r>
      <w:r w:rsidR="005D2089">
        <w:rPr>
          <w:rFonts w:ascii="David" w:eastAsia="Calibri" w:hAnsi="David"/>
          <w:noProof w:val="0"/>
          <w:rtl/>
        </w:rPr>
        <w:t>מתי תקבל פנסיה</w:t>
      </w:r>
      <w:r w:rsidR="000D79AC">
        <w:rPr>
          <w:rFonts w:ascii="David" w:eastAsia="Calibri" w:hAnsi="David" w:hint="cs"/>
          <w:noProof w:val="0"/>
          <w:rtl/>
        </w:rPr>
        <w:t xml:space="preserve"> ולמנוע ממנו את חלקו בה ללא הסכמתו</w:t>
      </w:r>
      <w:r w:rsidR="006E67DC">
        <w:rPr>
          <w:rFonts w:ascii="David" w:eastAsia="Calibri" w:hAnsi="David"/>
          <w:noProof w:val="0"/>
          <w:rtl/>
        </w:rPr>
        <w:t>. ת</w:t>
      </w:r>
      <w:r w:rsidRPr="001956B0">
        <w:rPr>
          <w:rFonts w:ascii="David" w:eastAsia="Calibri" w:hAnsi="David"/>
          <w:noProof w:val="0"/>
          <w:rtl/>
        </w:rPr>
        <w:t xml:space="preserve">מה זו מעוגנת לשיטתו אף בהוראות החוק לחלוקת חיסכון פנסיוני (סעיף 19), ובדברי ההסבר לחוק אף הובהר כי נדרשת הסכמה לפעולות חד צדדיות של החוסך גם במקרה בו ביקש עמית בקרן ותיקה לדחות את יציאתו לקצבה לאחר שהגיע לגיל הזכאות לפרישה. אין משמעות הדברים כי הנתבעת אינה יכולה לפרוש בגיל מאוחר מגיל הזכאות לפרישה אלא שבמקרה כזה היא צריכה לשלם את </w:t>
      </w:r>
      <w:r w:rsidRPr="000D79AC">
        <w:rPr>
          <w:rFonts w:ascii="David" w:eastAsia="Calibri" w:hAnsi="David"/>
          <w:b/>
          <w:bCs/>
          <w:noProof w:val="0"/>
          <w:rtl/>
        </w:rPr>
        <w:t>הערך הרעיוני</w:t>
      </w:r>
      <w:r w:rsidRPr="001956B0">
        <w:rPr>
          <w:rFonts w:ascii="David" w:eastAsia="Calibri" w:hAnsi="David"/>
          <w:noProof w:val="0"/>
          <w:rtl/>
        </w:rPr>
        <w:t xml:space="preserve"> של הפנסיה שלה לו הייתה מקבלת אותה החל מגיל זכאות לפרישה וכך נהג המומחה, ובצדק. </w:t>
      </w:r>
    </w:p>
    <w:p w:rsidR="00030266" w:rsidRDefault="00030266" w:rsidP="00030266">
      <w:pPr>
        <w:pStyle w:val="ad"/>
        <w:rPr>
          <w:rFonts w:ascii="David" w:eastAsia="Calibri" w:hAnsi="David"/>
          <w:noProof w:val="0"/>
          <w:rtl/>
        </w:rPr>
      </w:pPr>
    </w:p>
    <w:p w:rsidR="001956B0" w:rsidRPr="001956B0" w:rsidRDefault="001956B0" w:rsidP="0004126E">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לשיטת התובע, הדברים אמורים אף ביתר שאת בעניינינו, עת מעסיקה של הנתבעת העיד בדיון כי הנתבעת מיצתה את זכויותיה הפנסיוניות והיא זכאית לפרוש כבר בגיל 60 ולקבל פנסיה מקסימלית (עמ' 8 שורה 30 ועמ' 13 שורות 21-26  לפרוט' מיום 19.4.21). לפיכך לא רק שגיל הזכאות לפרישה של ה</w:t>
      </w:r>
      <w:r w:rsidR="0004126E">
        <w:rPr>
          <w:rFonts w:ascii="David" w:eastAsia="Calibri" w:hAnsi="David" w:hint="cs"/>
          <w:noProof w:val="0"/>
          <w:rtl/>
        </w:rPr>
        <w:t>נתבעת</w:t>
      </w:r>
      <w:r w:rsidRPr="001956B0">
        <w:rPr>
          <w:rFonts w:ascii="David" w:eastAsia="Calibri" w:hAnsi="David"/>
          <w:noProof w:val="0"/>
          <w:rtl/>
        </w:rPr>
        <w:t xml:space="preserve"> לפי החוק הוא 62.8 ולא כפי שרשם בטעות המומחה- 63.3, אלא שבהתחשבות המומחה בגיל האמור ולא בגיל 60, הוא הטה חסד נוסף עם הנתבעת. </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1956B0">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לדבריו, בניגוד לטענת הנתבעת בסעיף 1 לסיכומיה כאילו התובע יכול היה לפרוש מעבודתו במשרד ראש הממשלה כבר בגיל 43 עם מלוא זכויותיו הפנסיוניות, על נקלה ניתן לראות כי מדובר בטיעון חסר שחר על שום שבמועד הקובע 15.6.16 כאשר התובע היה כבן 58 שיעור הפנסיה שלו היה 54.5%.</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F0636A">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לטענת התובע דרך המלך לחישוב ותשלום הזכויות הפנסיוניות של בני זוג הוא מגיל </w:t>
      </w:r>
      <w:r w:rsidRPr="001956B0">
        <w:rPr>
          <w:rFonts w:ascii="David" w:eastAsia="Calibri" w:hAnsi="David"/>
          <w:b/>
          <w:bCs/>
          <w:noProof w:val="0"/>
          <w:rtl/>
        </w:rPr>
        <w:t>זכאות</w:t>
      </w:r>
      <w:r w:rsidRPr="001956B0">
        <w:rPr>
          <w:rFonts w:ascii="David" w:eastAsia="Calibri" w:hAnsi="David"/>
          <w:noProof w:val="0"/>
          <w:rtl/>
        </w:rPr>
        <w:t xml:space="preserve"> לפרישה על פי הדין</w:t>
      </w:r>
      <w:r w:rsidR="00F0636A">
        <w:rPr>
          <w:rFonts w:ascii="David" w:eastAsia="Calibri" w:hAnsi="David" w:hint="cs"/>
          <w:noProof w:val="0"/>
          <w:rtl/>
        </w:rPr>
        <w:t>,</w:t>
      </w:r>
      <w:r w:rsidRPr="001956B0">
        <w:rPr>
          <w:rFonts w:ascii="David" w:eastAsia="Calibri" w:hAnsi="David"/>
          <w:noProof w:val="0"/>
          <w:rtl/>
        </w:rPr>
        <w:t xml:space="preserve"> </w:t>
      </w:r>
      <w:r w:rsidR="00F0636A">
        <w:rPr>
          <w:rFonts w:ascii="David" w:eastAsia="Calibri" w:hAnsi="David" w:hint="cs"/>
          <w:noProof w:val="0"/>
          <w:rtl/>
        </w:rPr>
        <w:t xml:space="preserve">תוך שהוא מפנה </w:t>
      </w:r>
      <w:r w:rsidRPr="001956B0">
        <w:rPr>
          <w:rFonts w:ascii="David" w:eastAsia="Calibri" w:hAnsi="David"/>
          <w:noProof w:val="0"/>
          <w:rtl/>
        </w:rPr>
        <w:t xml:space="preserve">לעניין זה לספרו של ניסים שלם </w:t>
      </w:r>
      <w:r w:rsidRPr="001956B0">
        <w:rPr>
          <w:rFonts w:ascii="David" w:eastAsia="Calibri" w:hAnsi="David"/>
          <w:b/>
          <w:bCs/>
          <w:noProof w:val="0"/>
          <w:rtl/>
        </w:rPr>
        <w:t>יחסי ממון ורכוש הדין והפסיקה</w:t>
      </w:r>
      <w:r w:rsidRPr="001956B0">
        <w:rPr>
          <w:rFonts w:ascii="David" w:eastAsia="Calibri" w:hAnsi="David"/>
          <w:noProof w:val="0"/>
          <w:rtl/>
        </w:rPr>
        <w:t xml:space="preserve"> עמ' 322. ולפסיקה של </w:t>
      </w:r>
      <w:r w:rsidR="00F0636A">
        <w:rPr>
          <w:rFonts w:ascii="David" w:eastAsia="Calibri" w:hAnsi="David" w:hint="cs"/>
          <w:noProof w:val="0"/>
          <w:rtl/>
        </w:rPr>
        <w:t xml:space="preserve">כבוד השופטת </w:t>
      </w:r>
      <w:r w:rsidRPr="001956B0">
        <w:rPr>
          <w:rFonts w:ascii="David" w:eastAsia="Calibri" w:hAnsi="David"/>
          <w:noProof w:val="0"/>
          <w:rtl/>
        </w:rPr>
        <w:t xml:space="preserve">ברדנשטיין </w:t>
      </w:r>
      <w:r w:rsidR="002F2B93">
        <w:rPr>
          <w:rFonts w:ascii="David" w:eastAsia="Calibri" w:hAnsi="David" w:hint="cs"/>
          <w:noProof w:val="0"/>
          <w:rtl/>
        </w:rPr>
        <w:t xml:space="preserve">אשר טרם פורסמה </w:t>
      </w:r>
      <w:r w:rsidRPr="001956B0">
        <w:rPr>
          <w:rFonts w:ascii="David" w:eastAsia="Calibri" w:hAnsi="David"/>
          <w:noProof w:val="0"/>
          <w:rtl/>
        </w:rPr>
        <w:t>בתלה"מ 9879-01-21 פסקאות 27-28</w:t>
      </w:r>
      <w:r w:rsidR="00F0636A">
        <w:rPr>
          <w:rFonts w:ascii="David" w:eastAsia="Calibri" w:hAnsi="David" w:hint="cs"/>
          <w:noProof w:val="0"/>
          <w:rtl/>
        </w:rPr>
        <w:t>, אשר ה</w:t>
      </w:r>
      <w:r w:rsidRPr="001956B0">
        <w:rPr>
          <w:rFonts w:ascii="David" w:eastAsia="Calibri" w:hAnsi="David"/>
          <w:noProof w:val="0"/>
          <w:rtl/>
        </w:rPr>
        <w:t>ערעור שהוגש על פסק הדין האמור נדחה לאחר שהאישה משכה את ערעורה בהמלצת שופטי מותב הערעור. כך אף העיד המומחה בעניינינו, כי נהג לפי הפרקטיקה הנוהגת. עמ' 29 שורה 34 ועמ' 30 שורה 1. וכך השיב גם במסגרת תשובותיו לשאלות ההבהרה של הנתבעת. לפיכך יש לאמץ את תחשיב המומחה לפיו גיל הזכאות לפרישה הוא שקובע לעניין חשוב הזכויות בסייג אחד בלבד- בנוגע לתיקון טעות שבדין מצד המומחה לעניין גיל הפרישה המדויק של הנתבעת כפי שעתר בהשגותיו שלו על חוות הדעת.</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1956B0">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לטעות האמורה יש משמעות כספית</w:t>
      </w:r>
      <w:r w:rsidR="00E672C9">
        <w:rPr>
          <w:rFonts w:ascii="David" w:eastAsia="Calibri" w:hAnsi="David" w:hint="cs"/>
          <w:noProof w:val="0"/>
          <w:rtl/>
        </w:rPr>
        <w:t xml:space="preserve"> משמעותית</w:t>
      </w:r>
      <w:r w:rsidRPr="001956B0">
        <w:rPr>
          <w:rFonts w:ascii="David" w:eastAsia="Calibri" w:hAnsi="David"/>
          <w:noProof w:val="0"/>
          <w:rtl/>
        </w:rPr>
        <w:t xml:space="preserve">, ככל שנתייחס לגילה של הנתבעת במועד הקובע לאיזון – אז הגיל לזכאות הנתבעת לפנסיה הוא 62,  ישנו הפרש של כ- 150,000 ₪ אשר מתווסף לנכסי האישה (ראו פרוט' עמ' 29 שורות 7-11); וככל שיוכר הגיל החוקי של 62.8 על פי החוק, ההפרש עומד ע"ס 70,000 ₪; התובע עתר להורות על הגדלת נכסי האישה לפי אחת משתי החלופות האמורות. </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C47406">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בתשובתה לסיכומי</w:t>
      </w:r>
      <w:r w:rsidR="00C47406">
        <w:rPr>
          <w:rFonts w:ascii="David" w:eastAsia="Calibri" w:hAnsi="David" w:hint="cs"/>
          <w:noProof w:val="0"/>
          <w:rtl/>
        </w:rPr>
        <w:t>ם</w:t>
      </w:r>
      <w:r w:rsidRPr="001956B0">
        <w:rPr>
          <w:rFonts w:ascii="David" w:eastAsia="Calibri" w:hAnsi="David"/>
          <w:noProof w:val="0"/>
          <w:rtl/>
        </w:rPr>
        <w:t xml:space="preserve"> </w:t>
      </w:r>
      <w:r w:rsidRPr="00C47406">
        <w:rPr>
          <w:rFonts w:ascii="David" w:eastAsia="Calibri" w:hAnsi="David"/>
          <w:b/>
          <w:bCs/>
          <w:noProof w:val="0"/>
          <w:rtl/>
        </w:rPr>
        <w:t>הנתבעת</w:t>
      </w:r>
      <w:r w:rsidRPr="001956B0">
        <w:rPr>
          <w:rFonts w:ascii="David" w:eastAsia="Calibri" w:hAnsi="David"/>
          <w:noProof w:val="0"/>
          <w:rtl/>
        </w:rPr>
        <w:t xml:space="preserve"> לא התייחסה להוראות חוק גיל פרישה ולהבחנה שביקש התובע לערוך לפיה, ואך עמדה על עמדתה לפיה חישוב זכויות פנסיה לפי מועד יציאת האישה לפנסיה בתאריך שונה מהבעל - משמעותו </w:t>
      </w:r>
      <w:r w:rsidRPr="00F0636A">
        <w:rPr>
          <w:rFonts w:ascii="David" w:eastAsia="Calibri" w:hAnsi="David"/>
          <w:b/>
          <w:bCs/>
          <w:noProof w:val="0"/>
          <w:rtl/>
        </w:rPr>
        <w:t>אפליה</w:t>
      </w:r>
      <w:r w:rsidRPr="001956B0">
        <w:rPr>
          <w:rFonts w:ascii="David" w:eastAsia="Calibri" w:hAnsi="David"/>
          <w:noProof w:val="0"/>
          <w:rtl/>
        </w:rPr>
        <w:t xml:space="preserve"> פסולה לפי פסקי הדין שאוזכרו בסיכומיה. בנוסף טענה כי התובע לא הכחיש בסיכומיו את טענתה לפיה הוא רשאי לפרוש עם מלוא זכויותיו הפנסיוניות כבר בגיל 43. עניין זה מחדד עוד יותר את האפליה שערך המומחה בחישוב פרישה מוקדמת של האישה לפני גיל 67 בניגוד לבעל.</w:t>
      </w:r>
    </w:p>
    <w:p w:rsidR="001956B0" w:rsidRPr="001956B0" w:rsidRDefault="001956B0" w:rsidP="001956B0">
      <w:pPr>
        <w:spacing w:after="160" w:line="256" w:lineRule="auto"/>
        <w:ind w:left="720"/>
        <w:contextualSpacing/>
        <w:rPr>
          <w:rFonts w:ascii="David" w:eastAsia="Calibri" w:hAnsi="David"/>
          <w:noProof w:val="0"/>
        </w:rPr>
      </w:pPr>
    </w:p>
    <w:p w:rsidR="002A37C1" w:rsidRDefault="00C727D8" w:rsidP="002A37C1">
      <w:pPr>
        <w:numPr>
          <w:ilvl w:val="0"/>
          <w:numId w:val="1"/>
        </w:numPr>
        <w:spacing w:after="160" w:line="360" w:lineRule="auto"/>
        <w:contextualSpacing/>
        <w:jc w:val="both"/>
        <w:rPr>
          <w:rFonts w:ascii="David" w:eastAsia="Calibri" w:hAnsi="David"/>
          <w:noProof w:val="0"/>
        </w:rPr>
      </w:pPr>
      <w:r w:rsidRPr="00CB1D0A">
        <w:rPr>
          <w:rFonts w:ascii="David" w:eastAsia="Calibri" w:hAnsi="David"/>
          <w:noProof w:val="0"/>
          <w:rtl/>
        </w:rPr>
        <w:t>יוער, כי בנסיבות שלפני לא הובהר על ידי הצדדים אופק עבודתם לאחר הגיע כל אחד מהם לגיל פרישה (מרצון), וכאמור לעיל שניהם מצויים כיום מתחת לגיל ה</w:t>
      </w:r>
      <w:r w:rsidR="00F468E1">
        <w:rPr>
          <w:rFonts w:ascii="David" w:eastAsia="Calibri" w:hAnsi="David" w:hint="cs"/>
          <w:noProof w:val="0"/>
          <w:rtl/>
        </w:rPr>
        <w:t>זכאות ל</w:t>
      </w:r>
      <w:r w:rsidRPr="00CB1D0A">
        <w:rPr>
          <w:rFonts w:ascii="David" w:eastAsia="Calibri" w:hAnsi="David"/>
          <w:noProof w:val="0"/>
          <w:rtl/>
        </w:rPr>
        <w:t>פרישה, כאשר ההפרש בגילאי הצדדי</w:t>
      </w:r>
      <w:r w:rsidR="002A37C1">
        <w:rPr>
          <w:rFonts w:ascii="David" w:eastAsia="Calibri" w:hAnsi="David"/>
          <w:noProof w:val="0"/>
          <w:rtl/>
        </w:rPr>
        <w:t>ם יחסית זניח (כשלוש שנים בלבד).</w:t>
      </w:r>
    </w:p>
    <w:p w:rsidR="002A37C1" w:rsidRDefault="002A37C1" w:rsidP="002A37C1">
      <w:pPr>
        <w:pStyle w:val="ad"/>
        <w:rPr>
          <w:rFonts w:ascii="David" w:eastAsia="Calibri" w:hAnsi="David"/>
          <w:b/>
          <w:bCs/>
          <w:noProof w:val="0"/>
          <w:rtl/>
        </w:rPr>
      </w:pPr>
      <w:r>
        <w:rPr>
          <w:rFonts w:ascii="David" w:eastAsia="Calibri" w:hAnsi="David" w:hint="cs"/>
          <w:b/>
          <w:bCs/>
          <w:noProof w:val="0"/>
          <w:rtl/>
        </w:rPr>
        <w:t>דיון והכרעה</w:t>
      </w:r>
    </w:p>
    <w:p w:rsidR="00030266" w:rsidRPr="00030266" w:rsidRDefault="00030266" w:rsidP="002A37C1">
      <w:pPr>
        <w:rPr>
          <w:rFonts w:ascii="David" w:eastAsia="Calibri" w:hAnsi="David"/>
          <w:b/>
          <w:bCs/>
          <w:noProof w:val="0"/>
          <w:rtl/>
        </w:rPr>
      </w:pPr>
    </w:p>
    <w:p w:rsidR="002A37C1" w:rsidRDefault="002A37C1" w:rsidP="002A37C1">
      <w:pPr>
        <w:pStyle w:val="ad"/>
        <w:rPr>
          <w:rFonts w:ascii="David" w:eastAsia="Calibri" w:hAnsi="David"/>
          <w:b/>
          <w:bCs/>
          <w:noProof w:val="0"/>
          <w:rtl/>
        </w:rPr>
      </w:pPr>
    </w:p>
    <w:p w:rsidR="001956B0" w:rsidRPr="002A37C1" w:rsidRDefault="001956B0" w:rsidP="002A37C1">
      <w:pPr>
        <w:numPr>
          <w:ilvl w:val="0"/>
          <w:numId w:val="1"/>
        </w:numPr>
        <w:spacing w:after="160" w:line="360" w:lineRule="auto"/>
        <w:contextualSpacing/>
        <w:jc w:val="both"/>
        <w:rPr>
          <w:rFonts w:ascii="David" w:eastAsia="Calibri" w:hAnsi="David"/>
          <w:noProof w:val="0"/>
          <w:rtl/>
        </w:rPr>
      </w:pPr>
      <w:r w:rsidRPr="002A37C1">
        <w:rPr>
          <w:rFonts w:ascii="David" w:eastAsia="Calibri" w:hAnsi="David"/>
          <w:b/>
          <w:bCs/>
          <w:noProof w:val="0"/>
          <w:rtl/>
        </w:rPr>
        <w:t>חוק גיל פרישה</w:t>
      </w:r>
      <w:r w:rsidRPr="002A37C1">
        <w:rPr>
          <w:rFonts w:ascii="David" w:eastAsia="Calibri" w:hAnsi="David"/>
          <w:noProof w:val="0"/>
          <w:rtl/>
        </w:rPr>
        <w:t>, תשס"ד-2004, אשר נועד "לקבוע כללים אחידים לעניין גיל פרישה מעבודה" (סעיף 1 לחוק); מבחין בין – "</w:t>
      </w:r>
      <w:r w:rsidRPr="002A37C1">
        <w:rPr>
          <w:rFonts w:ascii="David" w:eastAsia="Calibri" w:hAnsi="David"/>
          <w:b/>
          <w:bCs/>
          <w:noProof w:val="0"/>
          <w:rtl/>
        </w:rPr>
        <w:t>גיל פרישה</w:t>
      </w:r>
      <w:r w:rsidRPr="002A37C1">
        <w:rPr>
          <w:rFonts w:ascii="David" w:eastAsia="Calibri" w:hAnsi="David"/>
          <w:noProof w:val="0"/>
          <w:rtl/>
        </w:rPr>
        <w:t>" – "</w:t>
      </w:r>
      <w:r w:rsidRPr="00B83B81">
        <w:rPr>
          <w:rFonts w:ascii="David" w:eastAsia="Calibri" w:hAnsi="David"/>
          <w:b/>
          <w:bCs/>
          <w:noProof w:val="0"/>
          <w:rtl/>
        </w:rPr>
        <w:t xml:space="preserve">הגיל </w:t>
      </w:r>
      <w:r w:rsidR="00030266" w:rsidRPr="00B83B81">
        <w:rPr>
          <w:rFonts w:ascii="David" w:eastAsia="Calibri" w:hAnsi="David" w:hint="cs"/>
          <w:b/>
          <w:bCs/>
          <w:noProof w:val="0"/>
          <w:rtl/>
        </w:rPr>
        <w:t>בהגיעו</w:t>
      </w:r>
      <w:r w:rsidRPr="00B83B81">
        <w:rPr>
          <w:rFonts w:ascii="David" w:eastAsia="Calibri" w:hAnsi="David"/>
          <w:b/>
          <w:bCs/>
          <w:noProof w:val="0"/>
          <w:rtl/>
        </w:rPr>
        <w:t xml:space="preserve"> אליו </w:t>
      </w:r>
      <w:r w:rsidRPr="00B83B81">
        <w:rPr>
          <w:rFonts w:ascii="David" w:eastAsia="Calibri" w:hAnsi="David"/>
          <w:b/>
          <w:bCs/>
          <w:noProof w:val="0"/>
          <w:u w:val="single"/>
          <w:rtl/>
        </w:rPr>
        <w:t>זכאי</w:t>
      </w:r>
      <w:r w:rsidRPr="00B83B81">
        <w:rPr>
          <w:rFonts w:ascii="David" w:eastAsia="Calibri" w:hAnsi="David"/>
          <w:b/>
          <w:bCs/>
          <w:noProof w:val="0"/>
          <w:rtl/>
        </w:rPr>
        <w:t xml:space="preserve"> אדם לפרוש מעבודתו בשל גילו ולקבל, בהתקיים התנאים הקבועים לכך על פי דין או הסכם, גמלה </w:t>
      </w:r>
      <w:r w:rsidRPr="00B83B81">
        <w:rPr>
          <w:rFonts w:ascii="David" w:eastAsia="Calibri" w:hAnsi="David"/>
          <w:b/>
          <w:bCs/>
          <w:noProof w:val="0"/>
          <w:rtl/>
        </w:rPr>
        <w:lastRenderedPageBreak/>
        <w:t>בשל פרישתו מעבודתו כאמור, הוא גיל 67 לגבר וגיל 65 לאישה</w:t>
      </w:r>
      <w:r w:rsidRPr="002A37C1">
        <w:rPr>
          <w:rFonts w:ascii="David" w:eastAsia="Calibri" w:hAnsi="David"/>
          <w:noProof w:val="0"/>
          <w:rtl/>
        </w:rPr>
        <w:t>" (סעיף 3 לחוק); לבין – "</w:t>
      </w:r>
      <w:r w:rsidRPr="002A37C1">
        <w:rPr>
          <w:rFonts w:ascii="David" w:eastAsia="Calibri" w:hAnsi="David"/>
          <w:b/>
          <w:bCs/>
          <w:noProof w:val="0"/>
          <w:rtl/>
        </w:rPr>
        <w:t>גיל פרישת חובה</w:t>
      </w:r>
      <w:r w:rsidRPr="002A37C1">
        <w:rPr>
          <w:rFonts w:ascii="David" w:eastAsia="Calibri" w:hAnsi="David"/>
          <w:noProof w:val="0"/>
          <w:rtl/>
        </w:rPr>
        <w:t>" – "</w:t>
      </w:r>
      <w:r w:rsidRPr="00B83B81">
        <w:rPr>
          <w:rFonts w:ascii="David" w:eastAsia="Calibri" w:hAnsi="David"/>
          <w:b/>
          <w:bCs/>
          <w:noProof w:val="0"/>
          <w:rtl/>
        </w:rPr>
        <w:t xml:space="preserve">שבהגיעו אליו </w:t>
      </w:r>
      <w:r w:rsidRPr="00B83B81">
        <w:rPr>
          <w:rFonts w:ascii="David" w:eastAsia="Calibri" w:hAnsi="David"/>
          <w:b/>
          <w:bCs/>
          <w:noProof w:val="0"/>
          <w:u w:val="single"/>
          <w:rtl/>
        </w:rPr>
        <w:t>ניתן לחייב</w:t>
      </w:r>
      <w:r w:rsidRPr="00B83B81">
        <w:rPr>
          <w:rFonts w:ascii="David" w:eastAsia="Calibri" w:hAnsi="David"/>
          <w:b/>
          <w:bCs/>
          <w:noProof w:val="0"/>
          <w:rtl/>
        </w:rPr>
        <w:t xml:space="preserve"> עובד לפרוש מעבודתו בשל גילו, הוא גיל 67 לגבר ולאישה</w:t>
      </w:r>
      <w:r w:rsidRPr="002A37C1">
        <w:rPr>
          <w:rFonts w:ascii="David" w:eastAsia="Calibri" w:hAnsi="David"/>
          <w:noProof w:val="0"/>
          <w:rtl/>
        </w:rPr>
        <w:t>". (סעיף 4 לחוק).</w:t>
      </w:r>
    </w:p>
    <w:p w:rsidR="001956B0" w:rsidRPr="001956B0" w:rsidRDefault="001956B0" w:rsidP="001956B0">
      <w:pPr>
        <w:spacing w:after="160" w:line="256" w:lineRule="auto"/>
        <w:ind w:left="720"/>
        <w:contextualSpacing/>
        <w:rPr>
          <w:rFonts w:ascii="Calibri" w:eastAsia="Calibri" w:hAnsi="Calibri" w:cs="Arial"/>
          <w:noProof w:val="0"/>
          <w:sz w:val="22"/>
          <w:szCs w:val="22"/>
        </w:rPr>
      </w:pPr>
    </w:p>
    <w:p w:rsidR="001956B0" w:rsidRPr="001956B0" w:rsidRDefault="001956B0" w:rsidP="00DF4EE8">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המחלוקת בין הצדדים מתמקדת אפוא באבחנה האמורה בסעיפים 3 ו-4 לחוק גיל פרישה. האם יש לחשב את היוון הפנסיה </w:t>
      </w:r>
      <w:r w:rsidR="00DF4EE8">
        <w:rPr>
          <w:rFonts w:ascii="David" w:eastAsia="Calibri" w:hAnsi="David" w:hint="cs"/>
          <w:noProof w:val="0"/>
          <w:rtl/>
        </w:rPr>
        <w:t xml:space="preserve">החל מן </w:t>
      </w:r>
      <w:r w:rsidRPr="001956B0">
        <w:rPr>
          <w:rFonts w:ascii="David" w:eastAsia="Calibri" w:hAnsi="David"/>
          <w:noProof w:val="0"/>
          <w:rtl/>
        </w:rPr>
        <w:t xml:space="preserve">הגיל ממנו ואילך ישנה </w:t>
      </w:r>
      <w:r w:rsidRPr="001956B0">
        <w:rPr>
          <w:rFonts w:ascii="David" w:eastAsia="Calibri" w:hAnsi="David"/>
          <w:b/>
          <w:bCs/>
          <w:noProof w:val="0"/>
          <w:rtl/>
        </w:rPr>
        <w:t>זכאות</w:t>
      </w:r>
      <w:r w:rsidRPr="001956B0">
        <w:rPr>
          <w:rFonts w:ascii="David" w:eastAsia="Calibri" w:hAnsi="David"/>
          <w:noProof w:val="0"/>
          <w:rtl/>
        </w:rPr>
        <w:t xml:space="preserve"> לפרוש, ועל פי הדין נקבע מועד </w:t>
      </w:r>
      <w:r w:rsidRPr="001956B0">
        <w:rPr>
          <w:rFonts w:ascii="David" w:eastAsia="Calibri" w:hAnsi="David"/>
          <w:b/>
          <w:bCs/>
          <w:noProof w:val="0"/>
          <w:rtl/>
        </w:rPr>
        <w:t>שונה</w:t>
      </w:r>
      <w:r w:rsidRPr="001956B0">
        <w:rPr>
          <w:rFonts w:ascii="David" w:eastAsia="Calibri" w:hAnsi="David"/>
          <w:noProof w:val="0"/>
          <w:rtl/>
        </w:rPr>
        <w:t xml:space="preserve"> לגבר ואישה כמפורט לעיל; שמא יש לחשב את היוון הפנסיה לפי גיל פרישת </w:t>
      </w:r>
      <w:r w:rsidRPr="004C74EF">
        <w:rPr>
          <w:rFonts w:ascii="David" w:eastAsia="Calibri" w:hAnsi="David"/>
          <w:b/>
          <w:bCs/>
          <w:noProof w:val="0"/>
          <w:rtl/>
        </w:rPr>
        <w:t>חובה</w:t>
      </w:r>
      <w:r w:rsidRPr="001956B0">
        <w:rPr>
          <w:rFonts w:ascii="David" w:eastAsia="Calibri" w:hAnsi="David"/>
          <w:noProof w:val="0"/>
          <w:rtl/>
        </w:rPr>
        <w:t xml:space="preserve">, היינו – הגיל ממנו ניתן </w:t>
      </w:r>
      <w:r w:rsidRPr="004C74EF">
        <w:rPr>
          <w:rFonts w:ascii="David" w:eastAsia="Calibri" w:hAnsi="David"/>
          <w:noProof w:val="0"/>
          <w:rtl/>
        </w:rPr>
        <w:t>לחייב</w:t>
      </w:r>
      <w:r w:rsidRPr="001956B0">
        <w:rPr>
          <w:rFonts w:ascii="David" w:eastAsia="Calibri" w:hAnsi="David"/>
          <w:noProof w:val="0"/>
          <w:rtl/>
        </w:rPr>
        <w:t xml:space="preserve"> את הפרישה לגמלאות, והוא </w:t>
      </w:r>
      <w:r w:rsidRPr="001956B0">
        <w:rPr>
          <w:rFonts w:ascii="David" w:eastAsia="Calibri" w:hAnsi="David"/>
          <w:b/>
          <w:bCs/>
          <w:noProof w:val="0"/>
          <w:rtl/>
        </w:rPr>
        <w:t>זהה</w:t>
      </w:r>
      <w:r w:rsidR="004C74EF">
        <w:rPr>
          <w:rFonts w:ascii="David" w:eastAsia="Calibri" w:hAnsi="David"/>
          <w:noProof w:val="0"/>
          <w:rtl/>
        </w:rPr>
        <w:t xml:space="preserve"> לגבר ולאישה כאמור</w:t>
      </w:r>
      <w:r w:rsidR="004C74EF">
        <w:rPr>
          <w:rFonts w:ascii="David" w:eastAsia="Calibri" w:hAnsi="David" w:hint="cs"/>
          <w:noProof w:val="0"/>
          <w:rtl/>
        </w:rPr>
        <w:t>.</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1956B0">
      <w:pPr>
        <w:spacing w:after="160" w:line="256" w:lineRule="auto"/>
        <w:ind w:left="720"/>
        <w:contextualSpacing/>
        <w:rPr>
          <w:rFonts w:ascii="David" w:eastAsia="Calibri" w:hAnsi="David"/>
          <w:noProof w:val="0"/>
          <w:rtl/>
        </w:rPr>
      </w:pPr>
    </w:p>
    <w:p w:rsidR="001956B0" w:rsidRPr="001956B0" w:rsidRDefault="001956B0" w:rsidP="006A00EC">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בתשובותיו לשאלות הבהרה של הנתבעת, ציין המומחה לעניין זה כי "חישבתי את סכום ההיוון ב-2 אפשרויות (גיל פרישה לאישה על פי שנת לידה, וגיל 67). </w:t>
      </w:r>
      <w:r w:rsidRPr="001B2E61">
        <w:rPr>
          <w:rFonts w:ascii="David" w:eastAsia="Calibri" w:hAnsi="David"/>
          <w:b/>
          <w:bCs/>
          <w:noProof w:val="0"/>
          <w:rtl/>
        </w:rPr>
        <w:t xml:space="preserve">הפרקטיקה המקובלת הינה היוון מגיל פרישה לאישה לפי שנת לידתה </w:t>
      </w:r>
      <w:r w:rsidRPr="001956B0">
        <w:rPr>
          <w:rFonts w:ascii="David" w:eastAsia="Calibri" w:hAnsi="David"/>
          <w:noProof w:val="0"/>
          <w:rtl/>
        </w:rPr>
        <w:t xml:space="preserve">ולכן חישוב האיזון הכולל נערך בדרך זו, אך </w:t>
      </w:r>
      <w:r w:rsidRPr="00B34CC7">
        <w:rPr>
          <w:rFonts w:ascii="David" w:eastAsia="Calibri" w:hAnsi="David"/>
          <w:b/>
          <w:bCs/>
          <w:noProof w:val="0"/>
          <w:rtl/>
        </w:rPr>
        <w:t>מדובר בשאלה משפטית</w:t>
      </w:r>
      <w:r w:rsidRPr="001956B0">
        <w:rPr>
          <w:rFonts w:ascii="David" w:eastAsia="Calibri" w:hAnsi="David"/>
          <w:noProof w:val="0"/>
          <w:rtl/>
        </w:rPr>
        <w:t>"</w:t>
      </w:r>
      <w:r w:rsidR="00B34CC7">
        <w:rPr>
          <w:rFonts w:ascii="David" w:eastAsia="Calibri" w:hAnsi="David" w:hint="cs"/>
          <w:noProof w:val="0"/>
          <w:rtl/>
        </w:rPr>
        <w:t xml:space="preserve"> (הדגשות שלי- ה.ג.)</w:t>
      </w:r>
      <w:r w:rsidR="006A00EC">
        <w:rPr>
          <w:rFonts w:ascii="David" w:eastAsia="Calibri" w:hAnsi="David" w:hint="cs"/>
          <w:noProof w:val="0"/>
          <w:rtl/>
        </w:rPr>
        <w:t>, וכך אף אישר בעת חקירתו בדיון (עמ' 29 לפרו').</w:t>
      </w:r>
    </w:p>
    <w:p w:rsidR="001956B0" w:rsidRPr="001956B0" w:rsidRDefault="001956B0" w:rsidP="001956B0">
      <w:pPr>
        <w:spacing w:line="360" w:lineRule="auto"/>
        <w:ind w:left="720"/>
        <w:contextualSpacing/>
        <w:jc w:val="both"/>
        <w:rPr>
          <w:rFonts w:ascii="David" w:eastAsia="Calibri" w:hAnsi="David"/>
          <w:noProof w:val="0"/>
        </w:rPr>
      </w:pPr>
    </w:p>
    <w:p w:rsidR="00F67543" w:rsidRDefault="001956B0" w:rsidP="00F63EDC">
      <w:pPr>
        <w:numPr>
          <w:ilvl w:val="0"/>
          <w:numId w:val="1"/>
        </w:numPr>
        <w:spacing w:after="160" w:line="360" w:lineRule="auto"/>
        <w:contextualSpacing/>
        <w:jc w:val="both"/>
        <w:rPr>
          <w:rFonts w:ascii="David" w:eastAsia="Calibri" w:hAnsi="David"/>
          <w:b/>
          <w:bCs/>
          <w:noProof w:val="0"/>
        </w:rPr>
      </w:pPr>
      <w:r w:rsidRPr="001956B0">
        <w:rPr>
          <w:rFonts w:ascii="David" w:eastAsia="Calibri" w:hAnsi="David"/>
          <w:noProof w:val="0"/>
          <w:rtl/>
        </w:rPr>
        <w:t>נוהג זה אליו הפנה המומחה</w:t>
      </w:r>
      <w:r w:rsidR="001B2E61">
        <w:rPr>
          <w:rFonts w:ascii="David" w:eastAsia="Calibri" w:hAnsi="David" w:hint="cs"/>
          <w:noProof w:val="0"/>
          <w:rtl/>
        </w:rPr>
        <w:t xml:space="preserve">, לפיו חישוב ההיוון יערך על פי גיל </w:t>
      </w:r>
      <w:r w:rsidR="001B2E61" w:rsidRPr="002E63EF">
        <w:rPr>
          <w:rFonts w:ascii="David" w:eastAsia="Calibri" w:hAnsi="David" w:hint="cs"/>
          <w:b/>
          <w:bCs/>
          <w:noProof w:val="0"/>
          <w:rtl/>
        </w:rPr>
        <w:t>הזכאות לפרישה</w:t>
      </w:r>
      <w:r w:rsidR="001B2E61">
        <w:rPr>
          <w:rFonts w:ascii="David" w:eastAsia="Calibri" w:hAnsi="David" w:hint="cs"/>
          <w:noProof w:val="0"/>
          <w:rtl/>
        </w:rPr>
        <w:t>,</w:t>
      </w:r>
      <w:r w:rsidRPr="001956B0">
        <w:rPr>
          <w:rFonts w:ascii="David" w:eastAsia="Calibri" w:hAnsi="David"/>
          <w:noProof w:val="0"/>
          <w:rtl/>
        </w:rPr>
        <w:t xml:space="preserve"> עולה בקנה אחד עם גישת בית המשפט המחוזי בעמ"ש </w:t>
      </w:r>
      <w:r w:rsidR="005F1F27" w:rsidRPr="005F1F27">
        <w:rPr>
          <w:rFonts w:ascii="David" w:eastAsia="Calibri" w:hAnsi="David"/>
          <w:noProof w:val="0"/>
          <w:rtl/>
        </w:rPr>
        <w:t xml:space="preserve">(חיפה) 16506-04-17 </w:t>
      </w:r>
      <w:r w:rsidR="005F1F27" w:rsidRPr="005F1F27">
        <w:rPr>
          <w:rFonts w:ascii="David" w:eastAsia="Calibri" w:hAnsi="David"/>
          <w:b/>
          <w:bCs/>
          <w:noProof w:val="0"/>
          <w:rtl/>
        </w:rPr>
        <w:t>פלוני נ' פלונית</w:t>
      </w:r>
      <w:r w:rsidR="005F1F27" w:rsidRPr="005F1F27">
        <w:rPr>
          <w:rFonts w:ascii="David" w:eastAsia="Calibri" w:hAnsi="David"/>
          <w:noProof w:val="0"/>
          <w:rtl/>
        </w:rPr>
        <w:t xml:space="preserve"> (10.11.2017)</w:t>
      </w:r>
      <w:r w:rsidR="005F1F27">
        <w:rPr>
          <w:rFonts w:ascii="David" w:eastAsia="Calibri" w:hAnsi="David" w:hint="cs"/>
          <w:noProof w:val="0"/>
          <w:rtl/>
        </w:rPr>
        <w:t xml:space="preserve">, </w:t>
      </w:r>
      <w:r w:rsidRPr="001956B0">
        <w:rPr>
          <w:rFonts w:ascii="David" w:eastAsia="Calibri" w:hAnsi="David"/>
          <w:noProof w:val="0"/>
          <w:rtl/>
        </w:rPr>
        <w:t>שם נקבע באשר לאופן קביעת השיעור המשותף בגמלת בן זוג בהסדר פנסיה תקציבית (על פי החוק לחלוקת חיסכון פנסיוני – אולם ני</w:t>
      </w:r>
      <w:r w:rsidR="009A6344">
        <w:rPr>
          <w:rFonts w:ascii="David" w:eastAsia="Calibri" w:hAnsi="David" w:hint="cs"/>
          <w:noProof w:val="0"/>
          <w:rtl/>
        </w:rPr>
        <w:t>ת</w:t>
      </w:r>
      <w:r w:rsidRPr="001956B0">
        <w:rPr>
          <w:rFonts w:ascii="David" w:eastAsia="Calibri" w:hAnsi="David"/>
          <w:noProof w:val="0"/>
          <w:rtl/>
        </w:rPr>
        <w:t xml:space="preserve">ן להקיש מכך אף לעניינינו אנו) </w:t>
      </w:r>
      <w:r w:rsidR="001B2E61">
        <w:rPr>
          <w:rFonts w:ascii="David" w:eastAsia="Calibri" w:hAnsi="David" w:hint="cs"/>
          <w:noProof w:val="0"/>
          <w:rtl/>
        </w:rPr>
        <w:t xml:space="preserve">כי </w:t>
      </w:r>
      <w:r w:rsidRPr="001956B0">
        <w:rPr>
          <w:rFonts w:ascii="David" w:eastAsia="Calibri" w:hAnsi="David"/>
          <w:noProof w:val="0"/>
          <w:rtl/>
        </w:rPr>
        <w:t xml:space="preserve">יש להבחין בין שני מצבים: </w:t>
      </w:r>
      <w:r w:rsidRPr="001956B0">
        <w:rPr>
          <w:rFonts w:ascii="David" w:eastAsia="Calibri" w:hAnsi="David"/>
          <w:b/>
          <w:bCs/>
          <w:noProof w:val="0"/>
          <w:rtl/>
        </w:rPr>
        <w:t>מצב ראשון</w:t>
      </w:r>
      <w:r w:rsidRPr="001956B0">
        <w:rPr>
          <w:rFonts w:ascii="David" w:eastAsia="Calibri" w:hAnsi="David"/>
          <w:noProof w:val="0"/>
          <w:rtl/>
        </w:rPr>
        <w:t xml:space="preserve"> – מלוא הזכויות נצברו עד מועד הפירוד; </w:t>
      </w:r>
      <w:r w:rsidRPr="001956B0">
        <w:rPr>
          <w:rFonts w:ascii="David" w:eastAsia="Calibri" w:hAnsi="David"/>
          <w:b/>
          <w:bCs/>
          <w:noProof w:val="0"/>
          <w:rtl/>
        </w:rPr>
        <w:t>מצב שני</w:t>
      </w:r>
      <w:r w:rsidRPr="001956B0">
        <w:rPr>
          <w:rFonts w:ascii="David" w:eastAsia="Calibri" w:hAnsi="David"/>
          <w:noProof w:val="0"/>
          <w:rtl/>
        </w:rPr>
        <w:t xml:space="preserve"> – מלוא הזכויות ייצברו לאחר מועד הפירוד; במצב הראשון נקבע כי מועד צבירת מלוא הזכויות הוא הקובע אף במצבים בהם הוא קודם למועד הפירוד; ואילו ביחס למצב השני – הרלוונטי לעניינינו – נקבע כי "</w:t>
      </w:r>
      <w:r w:rsidRPr="001956B0">
        <w:rPr>
          <w:rFonts w:ascii="David" w:eastAsia="Calibri" w:hAnsi="David"/>
          <w:b/>
          <w:bCs/>
          <w:noProof w:val="0"/>
          <w:rtl/>
        </w:rPr>
        <w:t xml:space="preserve">יש להתחשב, </w:t>
      </w:r>
      <w:r w:rsidRPr="001956B0">
        <w:rPr>
          <w:rFonts w:ascii="David" w:eastAsia="Calibri" w:hAnsi="David"/>
          <w:b/>
          <w:bCs/>
          <w:noProof w:val="0"/>
          <w:rtl/>
        </w:rPr>
        <w:lastRenderedPageBreak/>
        <w:t>הן לענין תקופת הצבירה והן לענין שיעור הצבירה של בן הזוג, במועד הפרישה</w:t>
      </w:r>
      <w:r w:rsidRPr="001956B0">
        <w:rPr>
          <w:rFonts w:ascii="David" w:eastAsia="Calibri" w:hAnsi="David"/>
          <w:noProof w:val="0"/>
          <w:rtl/>
        </w:rPr>
        <w:t xml:space="preserve"> [בפועל] </w:t>
      </w:r>
      <w:r w:rsidRPr="001956B0">
        <w:rPr>
          <w:rFonts w:ascii="David" w:eastAsia="Calibri" w:hAnsi="David"/>
          <w:b/>
          <w:bCs/>
          <w:noProof w:val="0"/>
          <w:rtl/>
        </w:rPr>
        <w:t>או במועד צבירת מלוא הזכויות, המוקדם בין השניים</w:t>
      </w:r>
      <w:r w:rsidRPr="001956B0">
        <w:rPr>
          <w:rFonts w:ascii="David" w:eastAsia="Calibri" w:hAnsi="David"/>
          <w:noProof w:val="0"/>
          <w:rtl/>
        </w:rPr>
        <w:t>".</w:t>
      </w:r>
    </w:p>
    <w:p w:rsidR="004D0165" w:rsidRDefault="004D0165" w:rsidP="004D0165">
      <w:pPr>
        <w:pStyle w:val="ad"/>
        <w:rPr>
          <w:rFonts w:ascii="David" w:eastAsia="Calibri" w:hAnsi="David"/>
          <w:b/>
          <w:bCs/>
          <w:noProof w:val="0"/>
          <w:rtl/>
        </w:rPr>
      </w:pPr>
    </w:p>
    <w:p w:rsidR="004D0165" w:rsidRDefault="004D0165" w:rsidP="005514AB">
      <w:pPr>
        <w:pStyle w:val="ad"/>
        <w:numPr>
          <w:ilvl w:val="0"/>
          <w:numId w:val="1"/>
        </w:numPr>
        <w:spacing w:line="360" w:lineRule="auto"/>
        <w:jc w:val="both"/>
        <w:rPr>
          <w:b/>
          <w:bCs/>
        </w:rPr>
      </w:pPr>
      <w:r w:rsidRPr="004D0165">
        <w:rPr>
          <w:rFonts w:hint="cs"/>
          <w:rtl/>
        </w:rPr>
        <w:t xml:space="preserve">הרציונאל המובא בפסק דין האמור הוא </w:t>
      </w:r>
      <w:r>
        <w:rPr>
          <w:rFonts w:hint="cs"/>
          <w:rtl/>
        </w:rPr>
        <w:t xml:space="preserve">הגנה על </w:t>
      </w:r>
      <w:r w:rsidRPr="004D0165">
        <w:rPr>
          <w:rFonts w:hint="cs"/>
          <w:rtl/>
        </w:rPr>
        <w:t xml:space="preserve">זכויות </w:t>
      </w:r>
      <w:r w:rsidRPr="004D0165">
        <w:rPr>
          <w:rtl/>
        </w:rPr>
        <w:t>בן זוגו של החוסך</w:t>
      </w:r>
      <w:r>
        <w:rPr>
          <w:rFonts w:hint="cs"/>
          <w:b/>
          <w:bCs/>
          <w:rtl/>
        </w:rPr>
        <w:t>: "</w:t>
      </w:r>
      <w:r w:rsidRPr="004D0165">
        <w:rPr>
          <w:b/>
          <w:bCs/>
          <w:rtl/>
        </w:rPr>
        <w:t>כבר במועד הצטברות מלוא צבירת הזכויות הפנסיוניות, ואפילו טרם מועד הפירוד, קנתה בת זוגו של החוסך (או בן זוגה של החוסכת) זכות בשיעור מירבי בגימלת בן זוגה, בין כזכות קניינית (הלכת השיתוף) ובין כזכות אישית (</w:t>
      </w:r>
      <w:hyperlink r:id="rId10" w:history="1">
        <w:r w:rsidRPr="005514AB">
          <w:rPr>
            <w:b/>
            <w:bCs/>
            <w:rtl/>
          </w:rPr>
          <w:t>חוק יחסי ממון</w:t>
        </w:r>
      </w:hyperlink>
      <w:r w:rsidRPr="004D0165">
        <w:rPr>
          <w:b/>
          <w:bCs/>
          <w:rtl/>
        </w:rPr>
        <w:t>), ולא ניתן לפגוע בזכות זו, שהושלמה טרם הפירוד, במועד הפירוד</w:t>
      </w:r>
      <w:r>
        <w:rPr>
          <w:rFonts w:hint="cs"/>
          <w:b/>
          <w:bCs/>
          <w:rtl/>
        </w:rPr>
        <w:t>"</w:t>
      </w:r>
      <w:r w:rsidR="005514AB" w:rsidRPr="005514AB">
        <w:rPr>
          <w:rFonts w:ascii="David" w:eastAsia="Calibri" w:hAnsi="David"/>
          <w:noProof w:val="0"/>
          <w:rtl/>
        </w:rPr>
        <w:t xml:space="preserve"> </w:t>
      </w:r>
      <w:r w:rsidR="005514AB">
        <w:rPr>
          <w:rFonts w:ascii="David" w:eastAsia="Calibri" w:hAnsi="David" w:hint="cs"/>
          <w:noProof w:val="0"/>
          <w:rtl/>
        </w:rPr>
        <w:t>(</w:t>
      </w:r>
      <w:r w:rsidR="005514AB" w:rsidRPr="00F67543">
        <w:rPr>
          <w:rFonts w:ascii="David" w:eastAsia="Calibri" w:hAnsi="David"/>
          <w:noProof w:val="0"/>
          <w:rtl/>
        </w:rPr>
        <w:t>פסקה 25 לפסק הדין).</w:t>
      </w:r>
    </w:p>
    <w:p w:rsidR="005514AB" w:rsidRPr="005514AB" w:rsidRDefault="005514AB" w:rsidP="005514AB">
      <w:pPr>
        <w:pStyle w:val="ad"/>
        <w:rPr>
          <w:b/>
          <w:bCs/>
          <w:rtl/>
        </w:rPr>
      </w:pPr>
    </w:p>
    <w:p w:rsidR="00F67543" w:rsidRDefault="00F67543" w:rsidP="00F67543">
      <w:pPr>
        <w:pStyle w:val="ad"/>
        <w:rPr>
          <w:rFonts w:ascii="David" w:eastAsia="Calibri" w:hAnsi="David"/>
          <w:noProof w:val="0"/>
          <w:rtl/>
        </w:rPr>
      </w:pPr>
    </w:p>
    <w:p w:rsidR="00F67543" w:rsidRPr="00D94839" w:rsidRDefault="001956B0" w:rsidP="00DB793C">
      <w:pPr>
        <w:numPr>
          <w:ilvl w:val="0"/>
          <w:numId w:val="1"/>
        </w:numPr>
        <w:spacing w:after="160" w:line="360" w:lineRule="auto"/>
        <w:contextualSpacing/>
        <w:jc w:val="both"/>
        <w:rPr>
          <w:rFonts w:ascii="David" w:eastAsia="Calibri" w:hAnsi="David"/>
          <w:noProof w:val="0"/>
        </w:rPr>
      </w:pPr>
      <w:r w:rsidRPr="00D94839">
        <w:rPr>
          <w:rFonts w:ascii="David" w:eastAsia="Calibri" w:hAnsi="David"/>
          <w:noProof w:val="0"/>
          <w:rtl/>
        </w:rPr>
        <w:t xml:space="preserve">בהתאם לגישה זו, </w:t>
      </w:r>
      <w:r w:rsidR="00F67543" w:rsidRPr="00D94839">
        <w:rPr>
          <w:rFonts w:ascii="David" w:eastAsia="Calibri" w:hAnsi="David"/>
          <w:noProof w:val="0"/>
          <w:rtl/>
        </w:rPr>
        <w:t xml:space="preserve">יש אפוא טעם להעמיד את גיל </w:t>
      </w:r>
      <w:r w:rsidR="00F67543" w:rsidRPr="00D94839">
        <w:rPr>
          <w:rFonts w:ascii="David" w:eastAsia="Calibri" w:hAnsi="David"/>
          <w:b/>
          <w:bCs/>
          <w:noProof w:val="0"/>
          <w:rtl/>
        </w:rPr>
        <w:t>הזכאות</w:t>
      </w:r>
      <w:r w:rsidR="00F67543" w:rsidRPr="00D94839">
        <w:rPr>
          <w:rFonts w:ascii="David" w:eastAsia="Calibri" w:hAnsi="David"/>
          <w:noProof w:val="0"/>
          <w:rtl/>
        </w:rPr>
        <w:t xml:space="preserve"> לפרישה כמועד </w:t>
      </w:r>
      <w:r w:rsidR="00DB793C">
        <w:rPr>
          <w:rFonts w:ascii="David" w:eastAsia="Calibri" w:hAnsi="David" w:hint="cs"/>
          <w:noProof w:val="0"/>
          <w:rtl/>
        </w:rPr>
        <w:t>הרלוונטי</w:t>
      </w:r>
      <w:r w:rsidR="00F67543" w:rsidRPr="00D94839">
        <w:rPr>
          <w:rFonts w:ascii="David" w:eastAsia="Calibri" w:hAnsi="David"/>
          <w:noProof w:val="0"/>
          <w:rtl/>
        </w:rPr>
        <w:t xml:space="preserve"> להיוון הזכויות, שכן </w:t>
      </w:r>
      <w:r w:rsidR="00DB793C">
        <w:rPr>
          <w:rFonts w:ascii="David" w:eastAsia="Calibri" w:hAnsi="David" w:hint="cs"/>
          <w:noProof w:val="0"/>
          <w:rtl/>
        </w:rPr>
        <w:t>ב</w:t>
      </w:r>
      <w:r w:rsidR="00F67543" w:rsidRPr="00D94839">
        <w:rPr>
          <w:rFonts w:ascii="David" w:eastAsia="Calibri" w:hAnsi="David"/>
          <w:noProof w:val="0"/>
          <w:rtl/>
        </w:rPr>
        <w:t xml:space="preserve">מועד זה </w:t>
      </w:r>
      <w:r w:rsidR="00F67543" w:rsidRPr="00D94839">
        <w:rPr>
          <w:rFonts w:ascii="David" w:eastAsia="Calibri" w:hAnsi="David" w:hint="cs"/>
          <w:noProof w:val="0"/>
          <w:rtl/>
        </w:rPr>
        <w:t>התגבשו למעשה ז</w:t>
      </w:r>
      <w:r w:rsidR="00F67543" w:rsidRPr="00D94839">
        <w:rPr>
          <w:rFonts w:ascii="David" w:eastAsia="Calibri" w:hAnsi="David"/>
          <w:noProof w:val="0"/>
          <w:rtl/>
        </w:rPr>
        <w:t xml:space="preserve">כויותיו </w:t>
      </w:r>
      <w:r w:rsidR="00DB793C">
        <w:rPr>
          <w:rFonts w:ascii="David" w:eastAsia="Calibri" w:hAnsi="David" w:hint="cs"/>
          <w:noProof w:val="0"/>
          <w:rtl/>
        </w:rPr>
        <w:t xml:space="preserve">היחסיות </w:t>
      </w:r>
      <w:r w:rsidR="00F67543" w:rsidRPr="00D94839">
        <w:rPr>
          <w:rFonts w:ascii="David" w:eastAsia="Calibri" w:hAnsi="David"/>
          <w:noProof w:val="0"/>
          <w:rtl/>
        </w:rPr>
        <w:t xml:space="preserve">של </w:t>
      </w:r>
      <w:r w:rsidR="00DB793C">
        <w:rPr>
          <w:rFonts w:ascii="David" w:eastAsia="Calibri" w:hAnsi="David" w:hint="cs"/>
          <w:noProof w:val="0"/>
          <w:rtl/>
        </w:rPr>
        <w:t>בן הזוג ב</w:t>
      </w:r>
      <w:r w:rsidR="00D94839" w:rsidRPr="00D94839">
        <w:rPr>
          <w:rFonts w:ascii="David" w:eastAsia="Calibri" w:hAnsi="David" w:hint="cs"/>
          <w:noProof w:val="0"/>
          <w:rtl/>
        </w:rPr>
        <w:t>זכויות הפנסיה</w:t>
      </w:r>
      <w:r w:rsidR="00DB793C">
        <w:rPr>
          <w:rFonts w:ascii="David" w:eastAsia="Calibri" w:hAnsi="David" w:hint="cs"/>
          <w:noProof w:val="0"/>
          <w:rtl/>
        </w:rPr>
        <w:t>,</w:t>
      </w:r>
      <w:r w:rsidR="00D94839" w:rsidRPr="00D94839">
        <w:rPr>
          <w:rFonts w:ascii="David" w:eastAsia="Calibri" w:hAnsi="David" w:hint="cs"/>
          <w:noProof w:val="0"/>
          <w:rtl/>
        </w:rPr>
        <w:t xml:space="preserve"> </w:t>
      </w:r>
      <w:r w:rsidR="00DB793C">
        <w:rPr>
          <w:rFonts w:ascii="David" w:eastAsia="Calibri" w:hAnsi="David" w:hint="cs"/>
          <w:noProof w:val="0"/>
          <w:rtl/>
        </w:rPr>
        <w:t>ה</w:t>
      </w:r>
      <w:r w:rsidR="00D94839" w:rsidRPr="00D94839">
        <w:rPr>
          <w:rFonts w:ascii="David" w:eastAsia="Calibri" w:hAnsi="David" w:hint="cs"/>
          <w:noProof w:val="0"/>
          <w:rtl/>
        </w:rPr>
        <w:t>מהוות נכס בר איזון</w:t>
      </w:r>
      <w:r w:rsidR="00DB793C">
        <w:rPr>
          <w:rFonts w:hint="cs"/>
          <w:rtl/>
        </w:rPr>
        <w:t>,</w:t>
      </w:r>
      <w:r w:rsidR="00D94839">
        <w:rPr>
          <w:rFonts w:hint="cs"/>
          <w:rtl/>
        </w:rPr>
        <w:t xml:space="preserve"> </w:t>
      </w:r>
      <w:r w:rsidR="00F67543" w:rsidRPr="00D36D7A">
        <w:rPr>
          <w:rtl/>
        </w:rPr>
        <w:t xml:space="preserve">ולא ניתן לפגוע </w:t>
      </w:r>
      <w:r w:rsidR="00F67543" w:rsidRPr="00D36D7A">
        <w:rPr>
          <w:rFonts w:hint="cs"/>
          <w:rtl/>
        </w:rPr>
        <w:t>בהן</w:t>
      </w:r>
      <w:r w:rsidR="00F67543" w:rsidRPr="00D94839">
        <w:rPr>
          <w:rFonts w:ascii="David" w:eastAsia="Calibri" w:hAnsi="David" w:hint="cs"/>
          <w:noProof w:val="0"/>
          <w:rtl/>
        </w:rPr>
        <w:t xml:space="preserve"> </w:t>
      </w:r>
      <w:r w:rsidR="00F67543" w:rsidRPr="00D94839">
        <w:rPr>
          <w:rFonts w:ascii="David" w:eastAsia="Calibri" w:hAnsi="David"/>
          <w:noProof w:val="0"/>
          <w:rtl/>
        </w:rPr>
        <w:t>.</w:t>
      </w:r>
    </w:p>
    <w:p w:rsidR="00D94839" w:rsidRPr="004D0165" w:rsidRDefault="00D94839" w:rsidP="00D94839">
      <w:pPr>
        <w:pStyle w:val="ad"/>
        <w:rPr>
          <w:rFonts w:ascii="David" w:eastAsia="Calibri" w:hAnsi="David"/>
          <w:noProof w:val="0"/>
          <w:rtl/>
        </w:rPr>
      </w:pPr>
    </w:p>
    <w:p w:rsidR="00C852C7" w:rsidRPr="004D0165" w:rsidRDefault="00F67543" w:rsidP="006B75C1">
      <w:pPr>
        <w:numPr>
          <w:ilvl w:val="0"/>
          <w:numId w:val="1"/>
        </w:numPr>
        <w:spacing w:after="160" w:line="360" w:lineRule="auto"/>
        <w:contextualSpacing/>
        <w:jc w:val="both"/>
        <w:rPr>
          <w:rFonts w:ascii="David" w:eastAsia="Calibri" w:hAnsi="David"/>
          <w:b/>
          <w:bCs/>
          <w:noProof w:val="0"/>
        </w:rPr>
      </w:pPr>
      <w:r w:rsidRPr="004D0165">
        <w:rPr>
          <w:rFonts w:ascii="David" w:eastAsia="Calibri" w:hAnsi="David" w:hint="cs"/>
          <w:noProof w:val="0"/>
          <w:rtl/>
        </w:rPr>
        <w:t xml:space="preserve">דברים אלו עולים אף </w:t>
      </w:r>
      <w:r w:rsidR="001956B0" w:rsidRPr="004D0165">
        <w:rPr>
          <w:rFonts w:ascii="David" w:eastAsia="Calibri" w:hAnsi="David"/>
          <w:noProof w:val="0"/>
          <w:rtl/>
        </w:rPr>
        <w:t>עם דברי ההסבר לסעיף 19 לחוק חלוקת חיסכון פנסיוני אליהם הפנה התובע בסעיף 38 לסיכומיו</w:t>
      </w:r>
      <w:r w:rsidRPr="004D0165">
        <w:rPr>
          <w:rFonts w:ascii="David" w:eastAsia="Calibri" w:hAnsi="David" w:hint="cs"/>
          <w:noProof w:val="0"/>
          <w:rtl/>
        </w:rPr>
        <w:t>, שמטרתו למנוע ביצוע פעולות חד צדדיות בחלק של זכויות בן הזוג</w:t>
      </w:r>
      <w:r w:rsidR="00C852C7" w:rsidRPr="004D0165">
        <w:rPr>
          <w:rFonts w:ascii="David" w:eastAsia="Calibri" w:hAnsi="David" w:hint="cs"/>
          <w:noProof w:val="0"/>
          <w:rtl/>
        </w:rPr>
        <w:t xml:space="preserve"> לשעבר, ודרישת הסכמ</w:t>
      </w:r>
      <w:r w:rsidR="006B75C1" w:rsidRPr="004D0165">
        <w:rPr>
          <w:rFonts w:ascii="David" w:eastAsia="Calibri" w:hAnsi="David" w:hint="cs"/>
          <w:noProof w:val="0"/>
          <w:rtl/>
        </w:rPr>
        <w:t>תו</w:t>
      </w:r>
      <w:r w:rsidR="00C852C7" w:rsidRPr="004D0165">
        <w:rPr>
          <w:rFonts w:ascii="David" w:eastAsia="Calibri" w:hAnsi="David" w:hint="cs"/>
          <w:noProof w:val="0"/>
          <w:rtl/>
        </w:rPr>
        <w:t xml:space="preserve"> של בן הזוג לדחיית יציאה לקצבה לאחר הגעה לגיל הזכאות</w:t>
      </w:r>
      <w:r w:rsidR="004D0165">
        <w:rPr>
          <w:rFonts w:ascii="David" w:eastAsia="Calibri" w:hAnsi="David" w:hint="cs"/>
          <w:noProof w:val="0"/>
          <w:rtl/>
        </w:rPr>
        <w:t>, מתוך הנחה שזכותו של בן הזוג התגבשה למעשה עם הזכאות לפרישה</w:t>
      </w:r>
      <w:r w:rsidR="00C852C7" w:rsidRPr="004D0165">
        <w:rPr>
          <w:rFonts w:ascii="David" w:eastAsia="Calibri" w:hAnsi="David" w:hint="cs"/>
          <w:noProof w:val="0"/>
          <w:rtl/>
        </w:rPr>
        <w:t>.</w:t>
      </w:r>
    </w:p>
    <w:p w:rsidR="009A1BED" w:rsidRPr="006D3E2B" w:rsidRDefault="009A1BED" w:rsidP="009A1BED">
      <w:pPr>
        <w:pStyle w:val="ad"/>
        <w:rPr>
          <w:rFonts w:ascii="David" w:eastAsia="Calibri" w:hAnsi="David"/>
          <w:b/>
          <w:bCs/>
          <w:noProof w:val="0"/>
          <w:highlight w:val="yellow"/>
          <w:rtl/>
        </w:rPr>
      </w:pPr>
    </w:p>
    <w:p w:rsidR="0023115E" w:rsidRDefault="00EC6B60" w:rsidP="00F63EDC">
      <w:pPr>
        <w:numPr>
          <w:ilvl w:val="0"/>
          <w:numId w:val="1"/>
        </w:numPr>
        <w:spacing w:after="160" w:line="360" w:lineRule="auto"/>
        <w:contextualSpacing/>
        <w:jc w:val="both"/>
        <w:rPr>
          <w:rFonts w:ascii="David" w:eastAsia="Calibri" w:hAnsi="David"/>
          <w:noProof w:val="0"/>
        </w:rPr>
      </w:pPr>
      <w:r w:rsidRPr="00EC6B60">
        <w:rPr>
          <w:rFonts w:ascii="David" w:eastAsia="Calibri" w:hAnsi="David" w:hint="cs"/>
          <w:noProof w:val="0"/>
          <w:rtl/>
        </w:rPr>
        <w:lastRenderedPageBreak/>
        <w:t>המלומד ניסים שלם בספרו</w:t>
      </w:r>
      <w:r w:rsidRPr="00EC6B60">
        <w:rPr>
          <w:rFonts w:ascii="David" w:eastAsia="Calibri" w:hAnsi="David" w:hint="cs"/>
          <w:b/>
          <w:bCs/>
          <w:noProof w:val="0"/>
          <w:rtl/>
        </w:rPr>
        <w:t xml:space="preserve"> יחסי ממון ורכוש</w:t>
      </w:r>
      <w:r>
        <w:rPr>
          <w:rFonts w:ascii="David" w:eastAsia="Calibri" w:hAnsi="David" w:hint="cs"/>
          <w:b/>
          <w:bCs/>
          <w:noProof w:val="0"/>
          <w:rtl/>
        </w:rPr>
        <w:t>- הדין והפסיקה,</w:t>
      </w:r>
      <w:r w:rsidRPr="00EC6B60">
        <w:rPr>
          <w:rFonts w:ascii="David" w:eastAsia="Calibri" w:hAnsi="David" w:hint="cs"/>
          <w:noProof w:val="0"/>
          <w:rtl/>
        </w:rPr>
        <w:t xml:space="preserve"> מהדורה שניה</w:t>
      </w:r>
      <w:r>
        <w:rPr>
          <w:rFonts w:ascii="David" w:eastAsia="Calibri" w:hAnsi="David" w:hint="cs"/>
          <w:noProof w:val="0"/>
          <w:rtl/>
        </w:rPr>
        <w:t xml:space="preserve">, תשע"ט- 2019, </w:t>
      </w:r>
      <w:r w:rsidRPr="00EC6B60">
        <w:rPr>
          <w:rFonts w:ascii="David" w:eastAsia="Calibri" w:hAnsi="David" w:hint="cs"/>
          <w:noProof w:val="0"/>
          <w:rtl/>
        </w:rPr>
        <w:t xml:space="preserve"> </w:t>
      </w:r>
      <w:r>
        <w:rPr>
          <w:rFonts w:ascii="David" w:eastAsia="Calibri" w:hAnsi="David" w:hint="cs"/>
          <w:noProof w:val="0"/>
          <w:rtl/>
        </w:rPr>
        <w:t>ב</w:t>
      </w:r>
      <w:r w:rsidRPr="00EC6B60">
        <w:rPr>
          <w:rFonts w:ascii="David" w:eastAsia="Calibri" w:hAnsi="David" w:hint="cs"/>
          <w:noProof w:val="0"/>
          <w:rtl/>
        </w:rPr>
        <w:t xml:space="preserve">עמוד  </w:t>
      </w:r>
      <w:r>
        <w:rPr>
          <w:rFonts w:ascii="David" w:eastAsia="Calibri" w:hAnsi="David" w:hint="cs"/>
          <w:noProof w:val="0"/>
          <w:rtl/>
        </w:rPr>
        <w:t xml:space="preserve">322, </w:t>
      </w:r>
      <w:r w:rsidR="001B2E61">
        <w:rPr>
          <w:rFonts w:ascii="David" w:eastAsia="Calibri" w:hAnsi="David" w:hint="cs"/>
          <w:noProof w:val="0"/>
          <w:rtl/>
        </w:rPr>
        <w:t>צידד אף הוא בעמדה זו</w:t>
      </w:r>
      <w:r>
        <w:rPr>
          <w:rFonts w:ascii="David" w:eastAsia="Calibri" w:hAnsi="David" w:hint="cs"/>
          <w:noProof w:val="0"/>
          <w:rtl/>
        </w:rPr>
        <w:t xml:space="preserve">, תוך הפנייה לפס"ד של ביה"ד הרבני בעניין, לפיו במקרה של אישה אשר בחרה להמשיך לעבוד לאחר גיל הזכאות לפרישה יש לחשב את </w:t>
      </w:r>
      <w:r w:rsidRPr="002E63EF">
        <w:rPr>
          <w:rFonts w:ascii="David" w:eastAsia="Calibri" w:hAnsi="David" w:hint="cs"/>
          <w:b/>
          <w:bCs/>
          <w:noProof w:val="0"/>
          <w:rtl/>
        </w:rPr>
        <w:t>הפנסיה הרעיונית של האישה</w:t>
      </w:r>
      <w:r>
        <w:rPr>
          <w:rFonts w:ascii="David" w:eastAsia="Calibri" w:hAnsi="David" w:hint="cs"/>
          <w:noProof w:val="0"/>
          <w:rtl/>
        </w:rPr>
        <w:t xml:space="preserve"> </w:t>
      </w:r>
      <w:r w:rsidRPr="00EC6B60">
        <w:rPr>
          <w:rFonts w:ascii="David" w:eastAsia="Calibri" w:hAnsi="David" w:hint="cs"/>
          <w:noProof w:val="0"/>
          <w:rtl/>
        </w:rPr>
        <w:t xml:space="preserve"> </w:t>
      </w:r>
      <w:r w:rsidRPr="002900DD">
        <w:rPr>
          <w:rFonts w:ascii="David" w:eastAsia="Calibri" w:hAnsi="David" w:hint="cs"/>
          <w:b/>
          <w:bCs/>
          <w:noProof w:val="0"/>
          <w:rtl/>
        </w:rPr>
        <w:t xml:space="preserve">מיום </w:t>
      </w:r>
      <w:r w:rsidR="002E63EF">
        <w:rPr>
          <w:rFonts w:ascii="David" w:eastAsia="Calibri" w:hAnsi="David" w:hint="cs"/>
          <w:b/>
          <w:bCs/>
          <w:noProof w:val="0"/>
          <w:rtl/>
        </w:rPr>
        <w:t>ה</w:t>
      </w:r>
      <w:r w:rsidRPr="002900DD">
        <w:rPr>
          <w:rFonts w:ascii="David" w:eastAsia="Calibri" w:hAnsi="David" w:hint="cs"/>
          <w:b/>
          <w:bCs/>
          <w:noProof w:val="0"/>
          <w:rtl/>
        </w:rPr>
        <w:t>זכאות</w:t>
      </w:r>
      <w:r w:rsidR="002E63EF">
        <w:rPr>
          <w:rFonts w:ascii="David" w:eastAsia="Calibri" w:hAnsi="David" w:hint="cs"/>
          <w:noProof w:val="0"/>
          <w:rtl/>
        </w:rPr>
        <w:t xml:space="preserve"> </w:t>
      </w:r>
      <w:r w:rsidR="0023115E">
        <w:rPr>
          <w:rFonts w:ascii="David" w:eastAsia="Calibri" w:hAnsi="David" w:hint="cs"/>
          <w:noProof w:val="0"/>
          <w:rtl/>
        </w:rPr>
        <w:t>(</w:t>
      </w:r>
      <w:r w:rsidR="006D3E2B" w:rsidRPr="006D3E2B">
        <w:rPr>
          <w:rFonts w:ascii="David" w:eastAsia="Calibri" w:hAnsi="David"/>
          <w:noProof w:val="0"/>
          <w:rtl/>
        </w:rPr>
        <w:t xml:space="preserve">(בתי-הדין הרבניים תל אביב-יפו) 844127/ </w:t>
      </w:r>
      <w:r w:rsidR="006D3E2B" w:rsidRPr="006D3E2B">
        <w:rPr>
          <w:rFonts w:ascii="David" w:eastAsia="Calibri" w:hAnsi="David"/>
          <w:b/>
          <w:bCs/>
          <w:noProof w:val="0"/>
          <w:rtl/>
        </w:rPr>
        <w:t xml:space="preserve">פלוני נ' פלונית </w:t>
      </w:r>
      <w:r w:rsidR="006D3E2B" w:rsidRPr="006D3E2B">
        <w:rPr>
          <w:rFonts w:ascii="David" w:eastAsia="Calibri" w:hAnsi="David"/>
          <w:noProof w:val="0"/>
          <w:rtl/>
        </w:rPr>
        <w:t>(30.11.2016)</w:t>
      </w:r>
      <w:r w:rsidR="002900DD">
        <w:rPr>
          <w:rFonts w:ascii="David" w:eastAsia="Calibri" w:hAnsi="David" w:hint="cs"/>
          <w:noProof w:val="0"/>
          <w:rtl/>
        </w:rPr>
        <w:t>, אשר הפנה לפסק דינו של כבוד השופט שקד ב</w:t>
      </w:r>
      <w:r w:rsidR="002900DD" w:rsidRPr="002900DD">
        <w:rPr>
          <w:rFonts w:ascii="David" w:eastAsia="Calibri" w:hAnsi="David"/>
          <w:noProof w:val="0"/>
          <w:rtl/>
        </w:rPr>
        <w:t>תמ"ש (</w:t>
      </w:r>
      <w:r w:rsidR="002900DD">
        <w:rPr>
          <w:rFonts w:ascii="David" w:eastAsia="Calibri" w:hAnsi="David" w:hint="cs"/>
          <w:noProof w:val="0"/>
          <w:rtl/>
        </w:rPr>
        <w:t>ת"א</w:t>
      </w:r>
      <w:r w:rsidR="002900DD" w:rsidRPr="002900DD">
        <w:rPr>
          <w:rFonts w:ascii="David" w:eastAsia="Calibri" w:hAnsi="David"/>
          <w:noProof w:val="0"/>
          <w:rtl/>
        </w:rPr>
        <w:t xml:space="preserve">) 48482/07 </w:t>
      </w:r>
      <w:r w:rsidR="002900DD" w:rsidRPr="002900DD">
        <w:rPr>
          <w:rFonts w:ascii="David" w:eastAsia="Calibri" w:hAnsi="David"/>
          <w:b/>
          <w:bCs/>
          <w:noProof w:val="0"/>
          <w:rtl/>
        </w:rPr>
        <w:t>ש.מ נ' א.מ</w:t>
      </w:r>
      <w:r w:rsidR="002900DD" w:rsidRPr="002900DD">
        <w:rPr>
          <w:rFonts w:ascii="David" w:eastAsia="Calibri" w:hAnsi="David"/>
          <w:noProof w:val="0"/>
          <w:rtl/>
        </w:rPr>
        <w:t xml:space="preserve"> (30.11.2011)</w:t>
      </w:r>
      <w:r w:rsidR="002900DD">
        <w:rPr>
          <w:rFonts w:ascii="David" w:eastAsia="Calibri" w:hAnsi="David" w:hint="cs"/>
          <w:noProof w:val="0"/>
          <w:rtl/>
        </w:rPr>
        <w:t>, וכבוד השופט זגורי ב</w:t>
      </w:r>
      <w:r w:rsidR="002900DD" w:rsidRPr="002900DD">
        <w:rPr>
          <w:rFonts w:ascii="David" w:eastAsia="Calibri" w:hAnsi="David"/>
          <w:noProof w:val="0"/>
          <w:rtl/>
        </w:rPr>
        <w:t xml:space="preserve">תמ"ש (נצרת) 55595-02-12 </w:t>
      </w:r>
      <w:r w:rsidR="002900DD" w:rsidRPr="006C7CE5">
        <w:rPr>
          <w:rFonts w:ascii="David" w:eastAsia="Calibri" w:hAnsi="David"/>
          <w:b/>
          <w:bCs/>
          <w:noProof w:val="0"/>
          <w:rtl/>
        </w:rPr>
        <w:t>ח.נ נ' ד.נ</w:t>
      </w:r>
      <w:r w:rsidR="002900DD" w:rsidRPr="002900DD">
        <w:rPr>
          <w:rFonts w:ascii="David" w:eastAsia="Calibri" w:hAnsi="David"/>
          <w:noProof w:val="0"/>
          <w:rtl/>
        </w:rPr>
        <w:t xml:space="preserve"> (03.03.2013)</w:t>
      </w:r>
      <w:r w:rsidR="002900DD">
        <w:rPr>
          <w:rFonts w:ascii="David" w:eastAsia="Calibri" w:hAnsi="David" w:hint="cs"/>
          <w:noProof w:val="0"/>
          <w:rtl/>
        </w:rPr>
        <w:t xml:space="preserve"> </w:t>
      </w:r>
      <w:r w:rsidR="00F2667A">
        <w:rPr>
          <w:rFonts w:ascii="David" w:eastAsia="Calibri" w:hAnsi="David" w:hint="cs"/>
          <w:noProof w:val="0"/>
          <w:rtl/>
        </w:rPr>
        <w:t>שהתייחסו לפנסיה מוק</w:t>
      </w:r>
      <w:r w:rsidR="009A45E3">
        <w:rPr>
          <w:rFonts w:ascii="David" w:eastAsia="Calibri" w:hAnsi="David" w:hint="cs"/>
          <w:noProof w:val="0"/>
          <w:rtl/>
        </w:rPr>
        <w:t>דמת</w:t>
      </w:r>
      <w:r w:rsidR="006D3E2B">
        <w:rPr>
          <w:rFonts w:ascii="David" w:eastAsia="Calibri" w:hAnsi="David" w:hint="cs"/>
          <w:noProof w:val="0"/>
          <w:rtl/>
        </w:rPr>
        <w:t>).</w:t>
      </w:r>
    </w:p>
    <w:p w:rsidR="0023115E" w:rsidRDefault="0023115E" w:rsidP="0023115E">
      <w:pPr>
        <w:pStyle w:val="ad"/>
        <w:rPr>
          <w:rFonts w:ascii="David" w:eastAsia="Calibri" w:hAnsi="David"/>
          <w:noProof w:val="0"/>
          <w:rtl/>
        </w:rPr>
      </w:pPr>
    </w:p>
    <w:p w:rsidR="00680592" w:rsidRDefault="00B83B81" w:rsidP="00A527AF">
      <w:pPr>
        <w:numPr>
          <w:ilvl w:val="0"/>
          <w:numId w:val="1"/>
        </w:numPr>
        <w:spacing w:after="160" w:line="360" w:lineRule="auto"/>
        <w:contextualSpacing/>
        <w:jc w:val="both"/>
        <w:rPr>
          <w:rFonts w:ascii="David" w:eastAsia="Calibri" w:hAnsi="David"/>
          <w:noProof w:val="0"/>
        </w:rPr>
      </w:pPr>
      <w:r>
        <w:rPr>
          <w:rFonts w:ascii="David" w:eastAsia="Calibri" w:hAnsi="David"/>
          <w:noProof w:val="0"/>
          <w:rtl/>
        </w:rPr>
        <w:t>ב</w:t>
      </w:r>
      <w:r w:rsidR="00680592" w:rsidRPr="001956B0">
        <w:rPr>
          <w:rFonts w:ascii="David" w:eastAsia="Calibri" w:hAnsi="David"/>
          <w:noProof w:val="0"/>
          <w:rtl/>
        </w:rPr>
        <w:t xml:space="preserve">תמ"ש (ב"ש) 3832-06-15 </w:t>
      </w:r>
      <w:r w:rsidR="00680592" w:rsidRPr="001956B0">
        <w:rPr>
          <w:rFonts w:ascii="David" w:eastAsia="Calibri" w:hAnsi="David"/>
          <w:b/>
          <w:bCs/>
          <w:noProof w:val="0"/>
          <w:rtl/>
        </w:rPr>
        <w:t>פלונית נ אלמוני</w:t>
      </w:r>
      <w:r w:rsidR="00680592" w:rsidRPr="001956B0">
        <w:rPr>
          <w:rFonts w:ascii="David" w:eastAsia="Calibri" w:hAnsi="David"/>
          <w:noProof w:val="0"/>
          <w:rtl/>
        </w:rPr>
        <w:t xml:space="preserve"> (29.8.16) הגיע כבוד סגן הנשיאה א' גביזון למסקנה דומה. בית המשפט נדרש באותה פרשה להליכי ביצוע פסק גירושין, שנעשה לפני חקיקת החוק לחלוקת חיסכון פנסיוני, כאשר המחלוקת בין הצדדים הייתה גיל פרישתה של האישה מן העבודה, אשר רצתה להמשיך ולעבוד מעבר לגיל הפרישה הקבוע בתקנון הפנסיה (62 באותו מקרה) על מנת לצבור זכויות נוספות ובן הזוג לשעבר התנגד לכך (מכוח סעיף 19 לחוק) וטען כי קיימת לו זכות בקצבה של האישה </w:t>
      </w:r>
      <w:r w:rsidR="00A527AF">
        <w:rPr>
          <w:rFonts w:ascii="David" w:eastAsia="Calibri" w:hAnsi="David" w:hint="cs"/>
          <w:noProof w:val="0"/>
          <w:rtl/>
        </w:rPr>
        <w:t xml:space="preserve">עם </w:t>
      </w:r>
      <w:r w:rsidR="00A527AF" w:rsidRPr="001956B0">
        <w:rPr>
          <w:rFonts w:ascii="David" w:eastAsia="Calibri" w:hAnsi="David" w:hint="cs"/>
          <w:noProof w:val="0"/>
          <w:rtl/>
        </w:rPr>
        <w:t>הגיע</w:t>
      </w:r>
      <w:r w:rsidR="00A527AF" w:rsidRPr="001956B0">
        <w:rPr>
          <w:rFonts w:ascii="David" w:eastAsia="Calibri" w:hAnsi="David" w:hint="eastAsia"/>
          <w:noProof w:val="0"/>
          <w:rtl/>
        </w:rPr>
        <w:t>ה</w:t>
      </w:r>
      <w:r w:rsidR="00680592" w:rsidRPr="001956B0">
        <w:rPr>
          <w:rFonts w:ascii="David" w:eastAsia="Calibri" w:hAnsi="David"/>
          <w:noProof w:val="0"/>
          <w:rtl/>
        </w:rPr>
        <w:t xml:space="preserve"> לגיל 62. בית המשפט קבע כי הפרשנות הנכונה והמסתברת של פסק הדין שקבע את הסכם הגירושין הינה כי זכאותו של כל צד בחלקו בגמלת הפנסיה של הצד שכנגד קמה עם פרישתו </w:t>
      </w:r>
      <w:r w:rsidR="00680592" w:rsidRPr="00681540">
        <w:rPr>
          <w:rFonts w:ascii="David" w:eastAsia="Calibri" w:hAnsi="David"/>
          <w:noProof w:val="0"/>
          <w:rtl/>
        </w:rPr>
        <w:t>בפועל</w:t>
      </w:r>
      <w:r w:rsidR="00680592" w:rsidRPr="001956B0">
        <w:rPr>
          <w:rFonts w:ascii="David" w:eastAsia="Calibri" w:hAnsi="David"/>
          <w:noProof w:val="0"/>
          <w:rtl/>
        </w:rPr>
        <w:t xml:space="preserve"> מעבודה של בן הזוג החוסך, </w:t>
      </w:r>
      <w:r w:rsidR="00680592" w:rsidRPr="001956B0">
        <w:rPr>
          <w:rFonts w:ascii="David" w:eastAsia="Calibri" w:hAnsi="David"/>
          <w:b/>
          <w:bCs/>
          <w:noProof w:val="0"/>
          <w:rtl/>
        </w:rPr>
        <w:t xml:space="preserve">או למצער, במועד בו </w:t>
      </w:r>
      <w:r w:rsidR="00680592" w:rsidRPr="001956B0">
        <w:rPr>
          <w:rFonts w:ascii="David" w:eastAsia="Calibri" w:hAnsi="David"/>
          <w:b/>
          <w:bCs/>
          <w:noProof w:val="0"/>
          <w:u w:val="single"/>
          <w:rtl/>
        </w:rPr>
        <w:t>זכאי</w:t>
      </w:r>
      <w:r w:rsidR="00680592" w:rsidRPr="001956B0">
        <w:rPr>
          <w:rFonts w:ascii="David" w:eastAsia="Calibri" w:hAnsi="David"/>
          <w:b/>
          <w:bCs/>
          <w:noProof w:val="0"/>
          <w:rtl/>
        </w:rPr>
        <w:t xml:space="preserve"> בן הזוג החוסך לפרוש מעבודתו עפ"י חוק גיל פרישה</w:t>
      </w:r>
      <w:r w:rsidR="00680592" w:rsidRPr="001956B0">
        <w:rPr>
          <w:rFonts w:ascii="David" w:eastAsia="Calibri" w:hAnsi="David"/>
          <w:noProof w:val="0"/>
          <w:rtl/>
        </w:rPr>
        <w:t>. תימוכין לכך מצא הן בלשון פסק הדין והן מהמצב החוקי ששרר בעת מתן פסק הדין.</w:t>
      </w:r>
    </w:p>
    <w:p w:rsidR="00680592" w:rsidRPr="00680592" w:rsidRDefault="00680592" w:rsidP="00680592">
      <w:pPr>
        <w:spacing w:after="160" w:line="360" w:lineRule="auto"/>
        <w:ind w:left="720"/>
        <w:contextualSpacing/>
        <w:jc w:val="both"/>
        <w:rPr>
          <w:rFonts w:ascii="David" w:eastAsia="Calibri" w:hAnsi="David"/>
          <w:b/>
          <w:bCs/>
          <w:noProof w:val="0"/>
          <w:rtl/>
        </w:rPr>
      </w:pPr>
    </w:p>
    <w:p w:rsidR="001956B0" w:rsidRPr="001956B0" w:rsidRDefault="001956B0" w:rsidP="00A527AF">
      <w:pPr>
        <w:numPr>
          <w:ilvl w:val="0"/>
          <w:numId w:val="1"/>
        </w:numPr>
        <w:spacing w:after="160" w:line="360" w:lineRule="auto"/>
        <w:contextualSpacing/>
        <w:jc w:val="both"/>
        <w:rPr>
          <w:rFonts w:ascii="David" w:eastAsia="Calibri" w:hAnsi="David"/>
          <w:b/>
          <w:bCs/>
          <w:noProof w:val="0"/>
          <w:rtl/>
        </w:rPr>
      </w:pPr>
      <w:r w:rsidRPr="001956B0">
        <w:rPr>
          <w:rFonts w:ascii="David" w:eastAsia="Calibri" w:hAnsi="David"/>
          <w:noProof w:val="0"/>
          <w:rtl/>
        </w:rPr>
        <w:t xml:space="preserve">בתלה"מ 9879-01-21 </w:t>
      </w:r>
      <w:r w:rsidRPr="001956B0">
        <w:rPr>
          <w:rFonts w:ascii="David" w:eastAsia="Calibri" w:hAnsi="David"/>
          <w:b/>
          <w:bCs/>
          <w:noProof w:val="0"/>
          <w:rtl/>
        </w:rPr>
        <w:t>ז.נ. נ' א.נ.</w:t>
      </w:r>
      <w:r w:rsidRPr="001956B0">
        <w:rPr>
          <w:rFonts w:ascii="David" w:eastAsia="Calibri" w:hAnsi="David"/>
          <w:noProof w:val="0"/>
          <w:rtl/>
        </w:rPr>
        <w:t xml:space="preserve"> (</w:t>
      </w:r>
      <w:r w:rsidR="004C74EF">
        <w:rPr>
          <w:rFonts w:ascii="David" w:eastAsia="Calibri" w:hAnsi="David" w:hint="cs"/>
          <w:noProof w:val="0"/>
          <w:rtl/>
        </w:rPr>
        <w:t>טרם</w:t>
      </w:r>
      <w:r w:rsidRPr="001956B0">
        <w:rPr>
          <w:rFonts w:ascii="David" w:eastAsia="Calibri" w:hAnsi="David"/>
          <w:noProof w:val="0"/>
          <w:rtl/>
        </w:rPr>
        <w:t xml:space="preserve"> פורסם) (מיום 23.6.21), אליו הפנה התובע, ונידון בפני חברתי כב' השופטת ברדנשטיין, נידונו טענות דומות, עת האיש היה כבן 68 והמשיך לעבוד אף לאחר גיל הפרישה ואילו האישה הייתה כבת 59 ולטענתה בכוונתה להמשיך </w:t>
      </w:r>
      <w:r w:rsidRPr="001956B0">
        <w:rPr>
          <w:rFonts w:ascii="David" w:eastAsia="Calibri" w:hAnsi="David"/>
          <w:noProof w:val="0"/>
          <w:rtl/>
        </w:rPr>
        <w:lastRenderedPageBreak/>
        <w:t xml:space="preserve">לעבוד עד גיל 67. האישה טענה שם, כי יש לקבוע את גיל 67 לשני הצדדים כגיל שבו תקום זכאות לכל צד לקבלת חלקו בקצבת האחר וזאת בהסתמך על הוראת סעיף 4 לחוק גיל פרישה, תוך שטענה כי לא ניתן לכפות עליה לצאת לגמלה קודם לכן. האיש טען כי יש להחיל דין שווה לשני הצדדים בדבר זכאות כל צד לקצבה במועד הפרישה בפועל של הצד האחר, </w:t>
      </w:r>
      <w:r w:rsidR="00D1192C">
        <w:rPr>
          <w:rFonts w:ascii="David" w:eastAsia="Calibri" w:hAnsi="David" w:hint="cs"/>
          <w:noProof w:val="0"/>
          <w:rtl/>
        </w:rPr>
        <w:t xml:space="preserve">אולם </w:t>
      </w:r>
      <w:r w:rsidRPr="001956B0">
        <w:rPr>
          <w:rFonts w:ascii="David" w:eastAsia="Calibri" w:hAnsi="David"/>
          <w:noProof w:val="0"/>
          <w:rtl/>
        </w:rPr>
        <w:t xml:space="preserve">ככל שיקבע כי האישה זכאית לקבלת חלקה בקצבת האיש </w:t>
      </w:r>
      <w:r w:rsidR="00A527AF">
        <w:rPr>
          <w:rFonts w:ascii="David" w:eastAsia="Calibri" w:hAnsi="David" w:hint="cs"/>
          <w:noProof w:val="0"/>
          <w:rtl/>
        </w:rPr>
        <w:t xml:space="preserve">עם </w:t>
      </w:r>
      <w:r w:rsidRPr="001956B0">
        <w:rPr>
          <w:rFonts w:ascii="David" w:eastAsia="Calibri" w:hAnsi="David"/>
          <w:noProof w:val="0"/>
          <w:rtl/>
        </w:rPr>
        <w:t xml:space="preserve">הגיעו לגיל 67, גיל </w:t>
      </w:r>
      <w:r w:rsidR="00D1192C">
        <w:rPr>
          <w:rFonts w:ascii="David" w:eastAsia="Calibri" w:hAnsi="David" w:hint="cs"/>
          <w:noProof w:val="0"/>
          <w:rtl/>
        </w:rPr>
        <w:t xml:space="preserve">זכאות </w:t>
      </w:r>
      <w:r w:rsidRPr="001956B0">
        <w:rPr>
          <w:rFonts w:ascii="David" w:eastAsia="Calibri" w:hAnsi="David"/>
          <w:noProof w:val="0"/>
          <w:rtl/>
        </w:rPr>
        <w:t xml:space="preserve">הפרישה </w:t>
      </w:r>
      <w:r w:rsidR="00A56895">
        <w:rPr>
          <w:rFonts w:ascii="David" w:eastAsia="Calibri" w:hAnsi="David" w:hint="cs"/>
          <w:noProof w:val="0"/>
          <w:rtl/>
        </w:rPr>
        <w:t xml:space="preserve">לגבר </w:t>
      </w:r>
      <w:r w:rsidRPr="001956B0">
        <w:rPr>
          <w:rFonts w:ascii="David" w:eastAsia="Calibri" w:hAnsi="David"/>
          <w:noProof w:val="0"/>
          <w:rtl/>
        </w:rPr>
        <w:t xml:space="preserve">על פי חוק גיל פרישה, הרי שיש לקבוע כי גם האיש יהא זכאי לקבלת חלקו בקצבת האישה </w:t>
      </w:r>
      <w:r w:rsidR="00A527AF">
        <w:rPr>
          <w:rFonts w:ascii="David" w:eastAsia="Calibri" w:hAnsi="David" w:hint="cs"/>
          <w:noProof w:val="0"/>
          <w:rtl/>
        </w:rPr>
        <w:t xml:space="preserve">עם </w:t>
      </w:r>
      <w:r w:rsidRPr="001956B0">
        <w:rPr>
          <w:rFonts w:ascii="David" w:eastAsia="Calibri" w:hAnsi="David"/>
          <w:noProof w:val="0"/>
          <w:rtl/>
        </w:rPr>
        <w:t xml:space="preserve">הגיעה לגיל </w:t>
      </w:r>
      <w:r w:rsidR="00A56895">
        <w:rPr>
          <w:rFonts w:ascii="David" w:eastAsia="Calibri" w:hAnsi="David" w:hint="cs"/>
          <w:noProof w:val="0"/>
          <w:rtl/>
        </w:rPr>
        <w:t xml:space="preserve">הזכאות לפרישה- </w:t>
      </w:r>
      <w:r w:rsidRPr="001956B0">
        <w:rPr>
          <w:rFonts w:ascii="David" w:eastAsia="Calibri" w:hAnsi="David"/>
          <w:noProof w:val="0"/>
          <w:rtl/>
        </w:rPr>
        <w:t>62</w:t>
      </w:r>
      <w:r w:rsidR="004274CF">
        <w:rPr>
          <w:rFonts w:ascii="David" w:eastAsia="Calibri" w:hAnsi="David" w:hint="cs"/>
          <w:noProof w:val="0"/>
          <w:rtl/>
        </w:rPr>
        <w:t>, אף אם תב</w:t>
      </w:r>
      <w:r w:rsidR="00A56895">
        <w:rPr>
          <w:rFonts w:ascii="David" w:eastAsia="Calibri" w:hAnsi="David" w:hint="cs"/>
          <w:noProof w:val="0"/>
          <w:rtl/>
        </w:rPr>
        <w:t>ק</w:t>
      </w:r>
      <w:r w:rsidR="004274CF">
        <w:rPr>
          <w:rFonts w:ascii="David" w:eastAsia="Calibri" w:hAnsi="David" w:hint="cs"/>
          <w:noProof w:val="0"/>
          <w:rtl/>
        </w:rPr>
        <w:t>ש</w:t>
      </w:r>
      <w:r w:rsidR="00A56895">
        <w:rPr>
          <w:rFonts w:ascii="David" w:eastAsia="Calibri" w:hAnsi="David" w:hint="cs"/>
          <w:noProof w:val="0"/>
          <w:rtl/>
        </w:rPr>
        <w:t xml:space="preserve"> להמשיך לעבוד, כפי שהוא בחר לעשות.</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681540">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כב' השופטת ברדנשטיין </w:t>
      </w:r>
      <w:r w:rsidR="00681540">
        <w:rPr>
          <w:rFonts w:ascii="David" w:eastAsia="Calibri" w:hAnsi="David" w:hint="cs"/>
          <w:noProof w:val="0"/>
          <w:rtl/>
        </w:rPr>
        <w:t>החילה</w:t>
      </w:r>
      <w:r w:rsidRPr="001956B0">
        <w:rPr>
          <w:rFonts w:ascii="David" w:eastAsia="Calibri" w:hAnsi="David"/>
          <w:noProof w:val="0"/>
          <w:rtl/>
        </w:rPr>
        <w:t xml:space="preserve"> דין שווה ביחס לשני הצדדים באשר למועד שבו תקום </w:t>
      </w:r>
      <w:r w:rsidRPr="00AD3D48">
        <w:rPr>
          <w:rFonts w:ascii="David" w:eastAsia="Calibri" w:hAnsi="David"/>
          <w:b/>
          <w:bCs/>
          <w:noProof w:val="0"/>
          <w:rtl/>
        </w:rPr>
        <w:t>זכאות</w:t>
      </w:r>
      <w:r w:rsidRPr="001956B0">
        <w:rPr>
          <w:rFonts w:ascii="David" w:eastAsia="Calibri" w:hAnsi="David"/>
          <w:noProof w:val="0"/>
          <w:rtl/>
        </w:rPr>
        <w:t xml:space="preserve"> לקבלת חלקו של כל צד בקצבת הצד האחר וקבעה כי:</w:t>
      </w:r>
    </w:p>
    <w:p w:rsidR="00AD3D48" w:rsidRDefault="00AD3D48" w:rsidP="00A56895">
      <w:pPr>
        <w:spacing w:line="360" w:lineRule="auto"/>
        <w:ind w:left="720"/>
        <w:contextualSpacing/>
        <w:jc w:val="both"/>
        <w:rPr>
          <w:rFonts w:ascii="David" w:eastAsia="Calibri" w:hAnsi="David"/>
          <w:noProof w:val="0"/>
          <w:rtl/>
        </w:rPr>
      </w:pPr>
    </w:p>
    <w:p w:rsidR="001956B0" w:rsidRPr="001956B0" w:rsidRDefault="001956B0" w:rsidP="00910062">
      <w:pPr>
        <w:spacing w:line="360" w:lineRule="auto"/>
        <w:ind w:left="992" w:right="142"/>
        <w:contextualSpacing/>
        <w:jc w:val="both"/>
        <w:rPr>
          <w:rFonts w:ascii="David" w:eastAsia="Calibri" w:hAnsi="David"/>
          <w:noProof w:val="0"/>
          <w:rtl/>
        </w:rPr>
      </w:pPr>
      <w:r w:rsidRPr="001956B0">
        <w:rPr>
          <w:rFonts w:ascii="David" w:eastAsia="Calibri" w:hAnsi="David"/>
          <w:noProof w:val="0"/>
          <w:rtl/>
        </w:rPr>
        <w:t>"</w:t>
      </w:r>
      <w:r w:rsidR="00A56895">
        <w:rPr>
          <w:rFonts w:ascii="David" w:eastAsia="Calibri" w:hAnsi="David" w:hint="cs"/>
          <w:b/>
          <w:bCs/>
          <w:noProof w:val="0"/>
          <w:rtl/>
        </w:rPr>
        <w:t>...</w:t>
      </w:r>
      <w:r w:rsidRPr="001956B0">
        <w:rPr>
          <w:rFonts w:ascii="David" w:eastAsia="Calibri" w:hAnsi="David"/>
          <w:b/>
          <w:bCs/>
          <w:noProof w:val="0"/>
          <w:rtl/>
        </w:rPr>
        <w:t xml:space="preserve"> אין כל הצדקה כי האישה תקבל הן את משכורתה והן את חלקה היחסי בקצבת האיש, לו היה פורש בגיל 67, הגם שהוא ממשיך לעבוד, ותמשיך ליהנות משני העולמות גם לאחר שתעבור את גיל הפרישה שלה לפי החוק, 62, ותמשיך לקבל משכורת מלאה, בעוד האיש יאלץ להתקיים על משכורת מקוצצת שלו, לאחר ניכוי חלקה של האישה בקצבתו הרעיונית, וזאת, עד הגיע האישה לגיל 67, שרק אז הוא יהא, לו אימצנו את שיטת האישה, זכאי לקבל גם את חלקו בקצבתה שלה</w:t>
      </w:r>
      <w:r w:rsidR="00A3642E">
        <w:rPr>
          <w:rFonts w:ascii="David" w:eastAsia="Calibri" w:hAnsi="David" w:hint="cs"/>
          <w:b/>
          <w:bCs/>
          <w:noProof w:val="0"/>
          <w:rtl/>
        </w:rPr>
        <w:t xml:space="preserve"> </w:t>
      </w:r>
      <w:r w:rsidRPr="001956B0">
        <w:rPr>
          <w:rFonts w:ascii="David" w:eastAsia="Calibri" w:hAnsi="David"/>
          <w:b/>
          <w:bCs/>
          <w:noProof w:val="0"/>
          <w:rtl/>
        </w:rPr>
        <w:t>.</w:t>
      </w:r>
      <w:r w:rsidR="00A3642E">
        <w:rPr>
          <w:rFonts w:ascii="David" w:eastAsia="Calibri" w:hAnsi="David" w:hint="cs"/>
          <w:b/>
          <w:bCs/>
          <w:noProof w:val="0"/>
          <w:rtl/>
        </w:rPr>
        <w:t>..</w:t>
      </w:r>
      <w:r w:rsidRPr="001956B0">
        <w:rPr>
          <w:rFonts w:ascii="David" w:eastAsia="Calibri" w:hAnsi="David"/>
          <w:b/>
          <w:bCs/>
          <w:noProof w:val="0"/>
          <w:rtl/>
        </w:rPr>
        <w:t xml:space="preserve"> קבלת עמדת האישה תביא אפוא לחוסר שוויון בולט בין הצדדים, שאין לאפשרו</w:t>
      </w:r>
      <w:r w:rsidRPr="001956B0">
        <w:rPr>
          <w:rFonts w:ascii="David" w:eastAsia="Calibri" w:hAnsi="David"/>
          <w:noProof w:val="0"/>
          <w:rtl/>
        </w:rPr>
        <w:t xml:space="preserve">". (פסקאות 25-26 לפסק הדין). </w:t>
      </w:r>
    </w:p>
    <w:p w:rsidR="001956B0" w:rsidRPr="001956B0" w:rsidRDefault="001956B0" w:rsidP="001956B0">
      <w:pPr>
        <w:spacing w:line="360" w:lineRule="auto"/>
        <w:jc w:val="both"/>
        <w:rPr>
          <w:rFonts w:ascii="David" w:eastAsia="Calibri" w:hAnsi="David"/>
          <w:noProof w:val="0"/>
          <w:rtl/>
        </w:rPr>
      </w:pPr>
    </w:p>
    <w:p w:rsidR="00C116AD" w:rsidRDefault="002E63EF" w:rsidP="00C116AD">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השו'</w:t>
      </w:r>
      <w:r w:rsidR="001956B0" w:rsidRPr="00A3642E">
        <w:rPr>
          <w:rFonts w:ascii="David" w:eastAsia="Calibri" w:hAnsi="David"/>
          <w:noProof w:val="0"/>
          <w:rtl/>
        </w:rPr>
        <w:t xml:space="preserve"> ברדנשטיין</w:t>
      </w:r>
      <w:r w:rsidR="00D1192C">
        <w:rPr>
          <w:rFonts w:ascii="David" w:eastAsia="Calibri" w:hAnsi="David" w:hint="cs"/>
          <w:noProof w:val="0"/>
          <w:rtl/>
        </w:rPr>
        <w:t xml:space="preserve"> קיבלה את עמדת האיש, שלדבריה תואמת את המקובל והנוהג בדרך כלל</w:t>
      </w:r>
      <w:r w:rsidR="00C116AD">
        <w:rPr>
          <w:rFonts w:ascii="David" w:eastAsia="Calibri" w:hAnsi="David" w:hint="cs"/>
          <w:noProof w:val="0"/>
          <w:rtl/>
        </w:rPr>
        <w:t>, ו</w:t>
      </w:r>
      <w:r w:rsidR="00D1192C">
        <w:rPr>
          <w:rFonts w:ascii="David" w:eastAsia="Calibri" w:hAnsi="David" w:hint="cs"/>
          <w:noProof w:val="0"/>
          <w:rtl/>
        </w:rPr>
        <w:t xml:space="preserve">הציגה בפסק דינה שתי חלופות </w:t>
      </w:r>
      <w:r w:rsidR="00C116AD">
        <w:rPr>
          <w:rFonts w:ascii="David" w:eastAsia="Calibri" w:hAnsi="David" w:hint="cs"/>
          <w:noProof w:val="0"/>
          <w:rtl/>
        </w:rPr>
        <w:t xml:space="preserve">ביניהם נדרשת לבחור האישה: האחת כי האיש יקבל </w:t>
      </w:r>
      <w:r w:rsidR="00681540" w:rsidRPr="00A3642E">
        <w:rPr>
          <w:rFonts w:ascii="David" w:eastAsia="Calibri" w:hAnsi="David" w:hint="cs"/>
          <w:noProof w:val="0"/>
          <w:rtl/>
        </w:rPr>
        <w:t xml:space="preserve">את חלקו </w:t>
      </w:r>
      <w:r w:rsidR="00C116AD">
        <w:rPr>
          <w:rFonts w:ascii="David" w:eastAsia="Calibri" w:hAnsi="David" w:hint="cs"/>
          <w:noProof w:val="0"/>
          <w:rtl/>
        </w:rPr>
        <w:t xml:space="preserve">בזכויות </w:t>
      </w:r>
      <w:r w:rsidR="001956B0" w:rsidRPr="00A3642E">
        <w:rPr>
          <w:rFonts w:ascii="David" w:eastAsia="Calibri" w:hAnsi="David"/>
          <w:noProof w:val="0"/>
          <w:rtl/>
        </w:rPr>
        <w:t xml:space="preserve">לעת פרישתה </w:t>
      </w:r>
      <w:r w:rsidR="001956B0" w:rsidRPr="009A45E3">
        <w:rPr>
          <w:rFonts w:ascii="David" w:eastAsia="Calibri" w:hAnsi="David"/>
          <w:b/>
          <w:bCs/>
          <w:noProof w:val="0"/>
          <w:rtl/>
        </w:rPr>
        <w:t>בפועל</w:t>
      </w:r>
      <w:r w:rsidR="001956B0" w:rsidRPr="00A3642E">
        <w:rPr>
          <w:rFonts w:ascii="David" w:eastAsia="Calibri" w:hAnsi="David"/>
          <w:noProof w:val="0"/>
          <w:rtl/>
        </w:rPr>
        <w:t xml:space="preserve">, </w:t>
      </w:r>
      <w:r w:rsidR="00C116AD">
        <w:rPr>
          <w:rFonts w:ascii="David" w:eastAsia="Calibri" w:hAnsi="David" w:hint="cs"/>
          <w:noProof w:val="0"/>
          <w:rtl/>
        </w:rPr>
        <w:t xml:space="preserve">ומנגד </w:t>
      </w:r>
      <w:r w:rsidR="009A45E3">
        <w:rPr>
          <w:rFonts w:ascii="David" w:eastAsia="Calibri" w:hAnsi="David" w:hint="cs"/>
          <w:noProof w:val="0"/>
          <w:rtl/>
        </w:rPr>
        <w:t xml:space="preserve">אף </w:t>
      </w:r>
      <w:r w:rsidR="001956B0" w:rsidRPr="00A3642E">
        <w:rPr>
          <w:rFonts w:ascii="David" w:eastAsia="Calibri" w:hAnsi="David"/>
          <w:noProof w:val="0"/>
          <w:rtl/>
        </w:rPr>
        <w:t>זכאות האישה לחלקה בקצבתו תה</w:t>
      </w:r>
      <w:r w:rsidR="00C116AD">
        <w:rPr>
          <w:rFonts w:ascii="David" w:eastAsia="Calibri" w:hAnsi="David" w:hint="cs"/>
          <w:noProof w:val="0"/>
          <w:rtl/>
        </w:rPr>
        <w:t>א</w:t>
      </w:r>
      <w:r w:rsidR="001956B0" w:rsidRPr="00A3642E">
        <w:rPr>
          <w:rFonts w:ascii="David" w:eastAsia="Calibri" w:hAnsi="David"/>
          <w:noProof w:val="0"/>
          <w:rtl/>
        </w:rPr>
        <w:t xml:space="preserve"> </w:t>
      </w:r>
      <w:r w:rsidR="001956B0" w:rsidRPr="00A3642E">
        <w:rPr>
          <w:rFonts w:ascii="David" w:eastAsia="Calibri" w:hAnsi="David"/>
          <w:noProof w:val="0"/>
          <w:rtl/>
        </w:rPr>
        <w:lastRenderedPageBreak/>
        <w:t>במועד פרישתו בפועל, ולא החל מגיל 67 שנים</w:t>
      </w:r>
      <w:r w:rsidR="00681540" w:rsidRPr="00A3642E">
        <w:rPr>
          <w:rFonts w:ascii="David" w:eastAsia="Calibri" w:hAnsi="David" w:hint="cs"/>
          <w:noProof w:val="0"/>
          <w:rtl/>
        </w:rPr>
        <w:t xml:space="preserve">; </w:t>
      </w:r>
      <w:r w:rsidR="001956B0" w:rsidRPr="00A3642E">
        <w:rPr>
          <w:rFonts w:ascii="David" w:eastAsia="Calibri" w:hAnsi="David"/>
          <w:noProof w:val="0"/>
          <w:rtl/>
        </w:rPr>
        <w:t>לחילופין</w:t>
      </w:r>
      <w:r w:rsidR="00681540" w:rsidRPr="00A3642E">
        <w:rPr>
          <w:rFonts w:ascii="David" w:eastAsia="Calibri" w:hAnsi="David" w:hint="cs"/>
          <w:noProof w:val="0"/>
          <w:rtl/>
        </w:rPr>
        <w:t>,</w:t>
      </w:r>
      <w:r w:rsidR="001956B0" w:rsidRPr="00A3642E">
        <w:rPr>
          <w:rFonts w:ascii="David" w:eastAsia="Calibri" w:hAnsi="David"/>
          <w:noProof w:val="0"/>
          <w:rtl/>
        </w:rPr>
        <w:t xml:space="preserve"> </w:t>
      </w:r>
      <w:r w:rsidR="00F41FDB">
        <w:rPr>
          <w:rFonts w:ascii="David" w:eastAsia="Calibri" w:hAnsi="David" w:hint="cs"/>
          <w:noProof w:val="0"/>
          <w:rtl/>
        </w:rPr>
        <w:t xml:space="preserve">ככל </w:t>
      </w:r>
      <w:r w:rsidR="00C116AD">
        <w:rPr>
          <w:rFonts w:ascii="David" w:eastAsia="Calibri" w:hAnsi="David" w:hint="cs"/>
          <w:noProof w:val="0"/>
          <w:rtl/>
        </w:rPr>
        <w:t xml:space="preserve">שתבחר האישה לקבל </w:t>
      </w:r>
      <w:r w:rsidR="001956B0" w:rsidRPr="00A3642E">
        <w:rPr>
          <w:rFonts w:ascii="David" w:eastAsia="Calibri" w:hAnsi="David"/>
          <w:noProof w:val="0"/>
          <w:rtl/>
        </w:rPr>
        <w:t>חלקה בקצבת</w:t>
      </w:r>
      <w:r w:rsidR="00C116AD">
        <w:rPr>
          <w:rFonts w:ascii="David" w:eastAsia="Calibri" w:hAnsi="David" w:hint="cs"/>
          <w:noProof w:val="0"/>
          <w:rtl/>
        </w:rPr>
        <w:t xml:space="preserve"> האיש</w:t>
      </w:r>
      <w:r w:rsidR="001956B0" w:rsidRPr="00A3642E">
        <w:rPr>
          <w:rFonts w:ascii="David" w:eastAsia="Calibri" w:hAnsi="David"/>
          <w:noProof w:val="0"/>
          <w:rtl/>
        </w:rPr>
        <w:t xml:space="preserve"> החל מהגיעו לגיל 67 שנים</w:t>
      </w:r>
      <w:r w:rsidR="00C116AD">
        <w:rPr>
          <w:rFonts w:ascii="David" w:eastAsia="Calibri" w:hAnsi="David" w:hint="cs"/>
          <w:noProof w:val="0"/>
          <w:rtl/>
        </w:rPr>
        <w:t xml:space="preserve">, </w:t>
      </w:r>
      <w:r w:rsidR="001956B0" w:rsidRPr="00A3642E">
        <w:rPr>
          <w:rFonts w:ascii="David" w:eastAsia="Calibri" w:hAnsi="David"/>
          <w:noProof w:val="0"/>
          <w:rtl/>
        </w:rPr>
        <w:t xml:space="preserve">הרי שגם הוא </w:t>
      </w:r>
      <w:r w:rsidR="00C116AD">
        <w:rPr>
          <w:rFonts w:ascii="David" w:eastAsia="Calibri" w:hAnsi="David" w:hint="cs"/>
          <w:noProof w:val="0"/>
          <w:rtl/>
        </w:rPr>
        <w:t xml:space="preserve">יהא </w:t>
      </w:r>
      <w:r w:rsidR="001956B0" w:rsidRPr="00A3642E">
        <w:rPr>
          <w:rFonts w:ascii="David" w:eastAsia="Calibri" w:hAnsi="David"/>
          <w:noProof w:val="0"/>
          <w:rtl/>
        </w:rPr>
        <w:t xml:space="preserve">זכאי לחלקו בקצבתה לעת שתגיע לגיל </w:t>
      </w:r>
      <w:r w:rsidR="00C116AD" w:rsidRPr="00790943">
        <w:rPr>
          <w:rFonts w:ascii="David" w:eastAsia="Calibri" w:hAnsi="David" w:hint="cs"/>
          <w:b/>
          <w:bCs/>
          <w:noProof w:val="0"/>
          <w:rtl/>
        </w:rPr>
        <w:t>הזכאות</w:t>
      </w:r>
      <w:r w:rsidR="00C116AD">
        <w:rPr>
          <w:rFonts w:ascii="David" w:eastAsia="Calibri" w:hAnsi="David" w:hint="cs"/>
          <w:noProof w:val="0"/>
          <w:rtl/>
        </w:rPr>
        <w:t xml:space="preserve"> לפרישה (</w:t>
      </w:r>
      <w:r w:rsidR="001956B0" w:rsidRPr="00A3642E">
        <w:rPr>
          <w:rFonts w:ascii="David" w:eastAsia="Calibri" w:hAnsi="David"/>
          <w:noProof w:val="0"/>
          <w:rtl/>
        </w:rPr>
        <w:t>62</w:t>
      </w:r>
      <w:r w:rsidR="00C116AD">
        <w:rPr>
          <w:rFonts w:ascii="David" w:eastAsia="Calibri" w:hAnsi="David" w:hint="cs"/>
          <w:noProof w:val="0"/>
          <w:rtl/>
        </w:rPr>
        <w:t xml:space="preserve"> במקרה האמור)</w:t>
      </w:r>
      <w:r w:rsidR="001956B0" w:rsidRPr="00A3642E">
        <w:rPr>
          <w:rFonts w:ascii="David" w:eastAsia="Calibri" w:hAnsi="David"/>
          <w:noProof w:val="0"/>
          <w:rtl/>
        </w:rPr>
        <w:t xml:space="preserve">, </w:t>
      </w:r>
      <w:r w:rsidR="00A3642E" w:rsidRPr="00A3642E">
        <w:rPr>
          <w:rFonts w:ascii="David" w:eastAsia="Calibri" w:hAnsi="David"/>
          <w:noProof w:val="0"/>
          <w:rtl/>
        </w:rPr>
        <w:t>בין אם תמשיך לעבוד ובין אם לאו</w:t>
      </w:r>
      <w:r w:rsidR="00A3642E" w:rsidRPr="00A3642E">
        <w:rPr>
          <w:rFonts w:ascii="David" w:eastAsia="Calibri" w:hAnsi="David" w:hint="cs"/>
          <w:noProof w:val="0"/>
          <w:rtl/>
        </w:rPr>
        <w:t xml:space="preserve">. </w:t>
      </w:r>
    </w:p>
    <w:p w:rsidR="00A3642E" w:rsidRPr="00C116AD" w:rsidRDefault="00A3642E" w:rsidP="00A3642E">
      <w:pPr>
        <w:spacing w:after="160" w:line="360" w:lineRule="auto"/>
        <w:ind w:left="720"/>
        <w:contextualSpacing/>
        <w:jc w:val="both"/>
        <w:rPr>
          <w:rFonts w:ascii="David" w:eastAsia="Calibri" w:hAnsi="David"/>
          <w:noProof w:val="0"/>
        </w:rPr>
      </w:pPr>
    </w:p>
    <w:p w:rsidR="0004126E" w:rsidRDefault="00A3642E" w:rsidP="0004126E">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בעניינו, כאשר התובע לא נתן הסכמתו לקבל את חלקו אך לעת הפרישה בפועל, אין מקום לכפות עליו לעשות כן, שכן מדובר בזכות</w:t>
      </w:r>
      <w:r w:rsidR="008550B9">
        <w:rPr>
          <w:rFonts w:ascii="David" w:eastAsia="Calibri" w:hAnsi="David" w:hint="cs"/>
          <w:noProof w:val="0"/>
          <w:rtl/>
        </w:rPr>
        <w:t xml:space="preserve"> שהינה פרי המאמץ המשותף,</w:t>
      </w:r>
      <w:r w:rsidR="00180DBA">
        <w:rPr>
          <w:rFonts w:ascii="David" w:eastAsia="Calibri" w:hAnsi="David" w:hint="cs"/>
          <w:noProof w:val="0"/>
          <w:rtl/>
        </w:rPr>
        <w:t xml:space="preserve"> </w:t>
      </w:r>
      <w:r w:rsidR="00F468E1">
        <w:rPr>
          <w:rFonts w:ascii="David" w:eastAsia="Calibri" w:hAnsi="David" w:hint="cs"/>
          <w:noProof w:val="0"/>
          <w:rtl/>
        </w:rPr>
        <w:t xml:space="preserve">ומשכך היא </w:t>
      </w:r>
      <w:r w:rsidR="008D6FDB">
        <w:rPr>
          <w:rFonts w:ascii="David" w:eastAsia="Calibri" w:hAnsi="David" w:hint="cs"/>
          <w:noProof w:val="0"/>
          <w:rtl/>
        </w:rPr>
        <w:t xml:space="preserve">ברת איזון, </w:t>
      </w:r>
      <w:r w:rsidR="00180DBA">
        <w:rPr>
          <w:rFonts w:ascii="David" w:eastAsia="Calibri" w:hAnsi="David" w:hint="cs"/>
          <w:noProof w:val="0"/>
          <w:rtl/>
        </w:rPr>
        <w:t xml:space="preserve">אשר צבורה </w:t>
      </w:r>
      <w:r w:rsidR="00180DBA" w:rsidRPr="00790943">
        <w:rPr>
          <w:rFonts w:ascii="David" w:eastAsia="Calibri" w:hAnsi="David" w:hint="cs"/>
          <w:noProof w:val="0"/>
          <w:rtl/>
        </w:rPr>
        <w:t>לו</w:t>
      </w:r>
      <w:r w:rsidR="00790943" w:rsidRPr="00790943">
        <w:rPr>
          <w:rFonts w:ascii="David" w:eastAsia="Calibri" w:hAnsi="David" w:hint="cs"/>
          <w:noProof w:val="0"/>
          <w:rtl/>
        </w:rPr>
        <w:t>,</w:t>
      </w:r>
      <w:r w:rsidR="00F41FDB" w:rsidRPr="00790943">
        <w:rPr>
          <w:rFonts w:ascii="David" w:eastAsia="Calibri" w:hAnsi="David" w:hint="cs"/>
          <w:noProof w:val="0"/>
          <w:rtl/>
        </w:rPr>
        <w:t xml:space="preserve"> ובהינתן שהוראות ההסכם בין הצדדים לא הסדירו מועד זה מפורשות, הרי שיש לפעול לפי המקובל באופן המתיישב עם הוראות הדין</w:t>
      </w:r>
      <w:r w:rsidR="0004126E">
        <w:rPr>
          <w:rFonts w:ascii="David" w:eastAsia="Calibri" w:hAnsi="David" w:hint="cs"/>
          <w:noProof w:val="0"/>
          <w:rtl/>
        </w:rPr>
        <w:t>.</w:t>
      </w:r>
    </w:p>
    <w:p w:rsidR="00A820BF" w:rsidRPr="00F41FDB" w:rsidRDefault="00A820BF" w:rsidP="00A820BF">
      <w:pPr>
        <w:pStyle w:val="ad"/>
        <w:rPr>
          <w:rFonts w:ascii="David" w:eastAsia="Calibri" w:hAnsi="David"/>
          <w:noProof w:val="0"/>
          <w:rtl/>
        </w:rPr>
      </w:pPr>
    </w:p>
    <w:p w:rsidR="00CC397E" w:rsidRDefault="00180DBA" w:rsidP="00CC397E">
      <w:pPr>
        <w:numPr>
          <w:ilvl w:val="0"/>
          <w:numId w:val="1"/>
        </w:numPr>
        <w:spacing w:after="160" w:line="360" w:lineRule="auto"/>
        <w:contextualSpacing/>
        <w:jc w:val="both"/>
        <w:rPr>
          <w:rFonts w:ascii="David" w:eastAsia="Calibri" w:hAnsi="David"/>
          <w:noProof w:val="0"/>
        </w:rPr>
      </w:pPr>
      <w:r w:rsidRPr="00CC397E">
        <w:rPr>
          <w:rFonts w:ascii="David" w:eastAsia="Calibri" w:hAnsi="David" w:hint="cs"/>
          <w:noProof w:val="0"/>
          <w:rtl/>
        </w:rPr>
        <w:t xml:space="preserve">לפיכך, </w:t>
      </w:r>
      <w:r w:rsidR="002E63EF" w:rsidRPr="00CC397E">
        <w:rPr>
          <w:rFonts w:ascii="David" w:eastAsia="Calibri" w:hAnsi="David" w:hint="cs"/>
          <w:noProof w:val="0"/>
          <w:rtl/>
        </w:rPr>
        <w:t xml:space="preserve">התובע זכאי לחלקו בקצבה </w:t>
      </w:r>
      <w:r w:rsidRPr="00CC397E">
        <w:rPr>
          <w:rFonts w:ascii="David" w:eastAsia="Calibri" w:hAnsi="David" w:hint="cs"/>
          <w:noProof w:val="0"/>
          <w:rtl/>
        </w:rPr>
        <w:t xml:space="preserve">בעת התגבשות הזכאות למימושה, </w:t>
      </w:r>
      <w:r w:rsidR="005E014C" w:rsidRPr="00CC397E">
        <w:rPr>
          <w:rFonts w:ascii="David" w:eastAsia="Calibri" w:hAnsi="David" w:hint="cs"/>
          <w:noProof w:val="0"/>
          <w:rtl/>
        </w:rPr>
        <w:t xml:space="preserve"> אף אם ה</w:t>
      </w:r>
      <w:r w:rsidR="002E63EF" w:rsidRPr="00CC397E">
        <w:rPr>
          <w:rFonts w:ascii="David" w:eastAsia="Calibri" w:hAnsi="David" w:hint="cs"/>
          <w:noProof w:val="0"/>
          <w:rtl/>
        </w:rPr>
        <w:t>נתבעת</w:t>
      </w:r>
      <w:r w:rsidR="005E014C" w:rsidRPr="00CC397E">
        <w:rPr>
          <w:rFonts w:ascii="David" w:eastAsia="Calibri" w:hAnsi="David" w:hint="cs"/>
          <w:noProof w:val="0"/>
          <w:rtl/>
        </w:rPr>
        <w:t xml:space="preserve"> תבחר להמשיך לעבוד בפועל </w:t>
      </w:r>
      <w:r w:rsidR="008D6FDB" w:rsidRPr="00CC397E">
        <w:rPr>
          <w:rFonts w:ascii="David" w:eastAsia="Calibri" w:hAnsi="David" w:hint="cs"/>
          <w:noProof w:val="0"/>
          <w:rtl/>
        </w:rPr>
        <w:t xml:space="preserve">ולא לפרוש </w:t>
      </w:r>
      <w:r w:rsidR="005E014C" w:rsidRPr="00CC397E">
        <w:rPr>
          <w:rFonts w:ascii="David" w:eastAsia="Calibri" w:hAnsi="David" w:hint="cs"/>
          <w:noProof w:val="0"/>
          <w:rtl/>
        </w:rPr>
        <w:t>(</w:t>
      </w:r>
      <w:r w:rsidR="008D6FDB" w:rsidRPr="00CC397E">
        <w:rPr>
          <w:rFonts w:ascii="David" w:eastAsia="Calibri" w:hAnsi="David" w:hint="cs"/>
          <w:noProof w:val="0"/>
          <w:rtl/>
        </w:rPr>
        <w:t>ד</w:t>
      </w:r>
      <w:r w:rsidR="005E014C" w:rsidRPr="00CC397E">
        <w:rPr>
          <w:rFonts w:ascii="David" w:eastAsia="Calibri" w:hAnsi="David" w:hint="cs"/>
          <w:noProof w:val="0"/>
          <w:rtl/>
        </w:rPr>
        <w:t xml:space="preserve">בר אשר אין בכוונתי </w:t>
      </w:r>
      <w:r w:rsidR="008D6FDB" w:rsidRPr="00CC397E">
        <w:rPr>
          <w:rFonts w:ascii="David" w:eastAsia="Calibri" w:hAnsi="David" w:hint="cs"/>
          <w:noProof w:val="0"/>
          <w:rtl/>
        </w:rPr>
        <w:t>לכפות עליה</w:t>
      </w:r>
      <w:r w:rsidR="00CC397E">
        <w:rPr>
          <w:rFonts w:ascii="David" w:eastAsia="Calibri" w:hAnsi="David" w:hint="cs"/>
          <w:noProof w:val="0"/>
          <w:rtl/>
        </w:rPr>
        <w:t xml:space="preserve">); </w:t>
      </w:r>
      <w:r w:rsidR="005E014C" w:rsidRPr="00CC397E">
        <w:rPr>
          <w:rFonts w:ascii="David" w:eastAsia="Calibri" w:hAnsi="David" w:hint="cs"/>
          <w:noProof w:val="0"/>
          <w:rtl/>
        </w:rPr>
        <w:t xml:space="preserve">החישוב יהא </w:t>
      </w:r>
      <w:r w:rsidR="005E014C" w:rsidRPr="00CC397E">
        <w:rPr>
          <w:rFonts w:ascii="David" w:eastAsia="Calibri" w:hAnsi="David" w:hint="cs"/>
          <w:b/>
          <w:bCs/>
          <w:noProof w:val="0"/>
          <w:rtl/>
        </w:rPr>
        <w:t>רעיוני</w:t>
      </w:r>
      <w:r w:rsidR="005E014C" w:rsidRPr="00CC397E">
        <w:rPr>
          <w:rFonts w:ascii="David" w:eastAsia="Calibri" w:hAnsi="David" w:hint="cs"/>
          <w:noProof w:val="0"/>
          <w:rtl/>
        </w:rPr>
        <w:t xml:space="preserve"> בלבד</w:t>
      </w:r>
      <w:r w:rsidR="00CC397E">
        <w:rPr>
          <w:rFonts w:ascii="David" w:eastAsia="Calibri" w:hAnsi="David" w:hint="cs"/>
          <w:noProof w:val="0"/>
          <w:rtl/>
        </w:rPr>
        <w:t>, החל ממועד הזכאות לפרישה</w:t>
      </w:r>
      <w:r w:rsidR="005E014C" w:rsidRPr="00CC397E">
        <w:rPr>
          <w:rFonts w:ascii="David" w:eastAsia="Calibri" w:hAnsi="David" w:hint="cs"/>
          <w:noProof w:val="0"/>
          <w:rtl/>
        </w:rPr>
        <w:t xml:space="preserve">, </w:t>
      </w:r>
      <w:r w:rsidR="00CC397E">
        <w:rPr>
          <w:rFonts w:ascii="David" w:eastAsia="Calibri" w:hAnsi="David" w:hint="cs"/>
          <w:noProof w:val="0"/>
          <w:rtl/>
        </w:rPr>
        <w:t xml:space="preserve">ויערך </w:t>
      </w:r>
      <w:r w:rsidR="005E014C" w:rsidRPr="00CC397E">
        <w:rPr>
          <w:rFonts w:ascii="David" w:eastAsia="Calibri" w:hAnsi="David" w:hint="cs"/>
          <w:noProof w:val="0"/>
          <w:rtl/>
        </w:rPr>
        <w:t>במסגרת עריכת חישובי ההיוון</w:t>
      </w:r>
      <w:r w:rsidR="00CC397E">
        <w:rPr>
          <w:rFonts w:ascii="David" w:eastAsia="Calibri" w:hAnsi="David" w:hint="cs"/>
          <w:noProof w:val="0"/>
          <w:rtl/>
        </w:rPr>
        <w:t xml:space="preserve"> הכולל</w:t>
      </w:r>
      <w:r w:rsidR="009A45E3" w:rsidRPr="00CC397E">
        <w:rPr>
          <w:rFonts w:ascii="David" w:eastAsia="Calibri" w:hAnsi="David" w:hint="cs"/>
          <w:noProof w:val="0"/>
          <w:rtl/>
        </w:rPr>
        <w:t>, עליו הסכימו כאמור הצדדים</w:t>
      </w:r>
      <w:r w:rsidR="00CC397E" w:rsidRPr="00CC397E">
        <w:rPr>
          <w:rFonts w:ascii="David" w:eastAsia="Calibri" w:hAnsi="David" w:hint="cs"/>
          <w:noProof w:val="0"/>
          <w:rtl/>
        </w:rPr>
        <w:t xml:space="preserve">, </w:t>
      </w:r>
      <w:r w:rsidR="00CC397E">
        <w:rPr>
          <w:rFonts w:ascii="David" w:eastAsia="Calibri" w:hAnsi="David" w:hint="cs"/>
          <w:noProof w:val="0"/>
          <w:rtl/>
        </w:rPr>
        <w:t>ו</w:t>
      </w:r>
      <w:r w:rsidR="00CC397E" w:rsidRPr="00CC397E">
        <w:rPr>
          <w:rFonts w:ascii="David" w:eastAsia="Calibri" w:hAnsi="David" w:hint="cs"/>
          <w:noProof w:val="0"/>
          <w:rtl/>
        </w:rPr>
        <w:t>אין מדובר על תשלום בפועל מידי חודש בחודשו</w:t>
      </w:r>
      <w:r w:rsidR="00CC397E">
        <w:rPr>
          <w:rFonts w:ascii="David" w:eastAsia="Calibri" w:hAnsi="David" w:hint="cs"/>
          <w:noProof w:val="0"/>
          <w:rtl/>
        </w:rPr>
        <w:t>.</w:t>
      </w:r>
    </w:p>
    <w:p w:rsidR="00CC397E" w:rsidRDefault="00CC397E" w:rsidP="00CC397E">
      <w:pPr>
        <w:pStyle w:val="ad"/>
        <w:rPr>
          <w:rFonts w:ascii="David" w:eastAsia="Calibri" w:hAnsi="David"/>
          <w:noProof w:val="0"/>
          <w:rtl/>
        </w:rPr>
      </w:pPr>
    </w:p>
    <w:p w:rsidR="0004126E" w:rsidRDefault="0004126E" w:rsidP="0004126E">
      <w:pPr>
        <w:numPr>
          <w:ilvl w:val="0"/>
          <w:numId w:val="1"/>
        </w:numPr>
        <w:spacing w:after="160" w:line="360" w:lineRule="auto"/>
        <w:contextualSpacing/>
        <w:jc w:val="both"/>
        <w:rPr>
          <w:rFonts w:ascii="David" w:eastAsia="Calibri" w:hAnsi="David"/>
          <w:noProof w:val="0"/>
        </w:rPr>
      </w:pPr>
      <w:r w:rsidRPr="0004126E">
        <w:rPr>
          <w:rFonts w:ascii="David" w:eastAsia="Calibri" w:hAnsi="David" w:hint="cs"/>
          <w:noProof w:val="0"/>
          <w:rtl/>
        </w:rPr>
        <w:t>כל החלטה אחרת תהווה קיפוח זכויותיו של הנתבע בחלקו בפנסיה, כפי שאישר גם המומחה בחקירתו  (</w:t>
      </w:r>
      <w:r w:rsidRPr="0004126E">
        <w:rPr>
          <w:rFonts w:ascii="David" w:eastAsia="Calibri" w:hAnsi="David"/>
          <w:noProof w:val="0"/>
          <w:rtl/>
        </w:rPr>
        <w:t>שורות 6-8 עמ' 30 לפרוטו</w:t>
      </w:r>
      <w:r w:rsidRPr="0004126E">
        <w:rPr>
          <w:rFonts w:ascii="David" w:eastAsia="Calibri" w:hAnsi="David" w:hint="cs"/>
          <w:noProof w:val="0"/>
          <w:rtl/>
        </w:rPr>
        <w:t>'</w:t>
      </w:r>
      <w:r w:rsidRPr="0004126E">
        <w:rPr>
          <w:rFonts w:ascii="David" w:eastAsia="Calibri" w:hAnsi="David"/>
          <w:noProof w:val="0"/>
          <w:rtl/>
        </w:rPr>
        <w:t>).</w:t>
      </w:r>
    </w:p>
    <w:p w:rsidR="0004126E" w:rsidRDefault="0004126E" w:rsidP="0004126E">
      <w:pPr>
        <w:pStyle w:val="ad"/>
        <w:rPr>
          <w:rFonts w:ascii="David" w:eastAsia="Calibri" w:hAnsi="David"/>
          <w:noProof w:val="0"/>
          <w:rtl/>
        </w:rPr>
      </w:pPr>
    </w:p>
    <w:p w:rsidR="00ED2FB0" w:rsidRDefault="005331CE" w:rsidP="00B052B3">
      <w:pPr>
        <w:numPr>
          <w:ilvl w:val="0"/>
          <w:numId w:val="1"/>
        </w:numPr>
        <w:spacing w:after="160" w:line="360" w:lineRule="auto"/>
        <w:contextualSpacing/>
        <w:jc w:val="both"/>
        <w:rPr>
          <w:rFonts w:ascii="David" w:eastAsia="Calibri" w:hAnsi="David"/>
          <w:noProof w:val="0"/>
        </w:rPr>
      </w:pPr>
      <w:r w:rsidRPr="00CC397E">
        <w:rPr>
          <w:rFonts w:ascii="David" w:eastAsia="Calibri" w:hAnsi="David" w:hint="cs"/>
          <w:noProof w:val="0"/>
          <w:rtl/>
        </w:rPr>
        <w:t>ודוק, ה</w:t>
      </w:r>
      <w:r w:rsidR="002A21D0" w:rsidRPr="00CC397E">
        <w:rPr>
          <w:rFonts w:ascii="David" w:eastAsia="Calibri" w:hAnsi="David" w:hint="cs"/>
          <w:noProof w:val="0"/>
          <w:rtl/>
        </w:rPr>
        <w:t xml:space="preserve">נתבעת </w:t>
      </w:r>
      <w:r w:rsidR="00A56895" w:rsidRPr="00CC397E">
        <w:rPr>
          <w:rFonts w:ascii="David" w:eastAsia="Calibri" w:hAnsi="David" w:hint="cs"/>
          <w:noProof w:val="0"/>
          <w:rtl/>
        </w:rPr>
        <w:t xml:space="preserve">תהא </w:t>
      </w:r>
      <w:r w:rsidRPr="00CC397E">
        <w:rPr>
          <w:rFonts w:ascii="David" w:eastAsia="Calibri" w:hAnsi="David" w:hint="cs"/>
          <w:noProof w:val="0"/>
          <w:rtl/>
        </w:rPr>
        <w:t xml:space="preserve">סוברנית להחליט מתי תפרוש, והיא רשאית לעבוד גם לאחר גיל הזכאות לפרישה, אולם </w:t>
      </w:r>
      <w:r w:rsidR="00B323CE" w:rsidRPr="00CC397E">
        <w:rPr>
          <w:rFonts w:ascii="David" w:eastAsia="Calibri" w:hAnsi="David" w:hint="cs"/>
          <w:noProof w:val="0"/>
          <w:rtl/>
        </w:rPr>
        <w:t xml:space="preserve">גם </w:t>
      </w:r>
      <w:r w:rsidRPr="00CC397E">
        <w:rPr>
          <w:rFonts w:ascii="David" w:eastAsia="Calibri" w:hAnsi="David" w:hint="cs"/>
          <w:noProof w:val="0"/>
          <w:rtl/>
        </w:rPr>
        <w:t xml:space="preserve">במקרה בו תבחר לעשות כן, יהא עליה לשלם לבן הזוג </w:t>
      </w:r>
      <w:r w:rsidR="00CC397E">
        <w:rPr>
          <w:rFonts w:ascii="David" w:eastAsia="Calibri" w:hAnsi="David" w:hint="cs"/>
          <w:noProof w:val="0"/>
          <w:rtl/>
        </w:rPr>
        <w:t xml:space="preserve">באמצעות ההיוון הכולל </w:t>
      </w:r>
      <w:r w:rsidRPr="00CC397E">
        <w:rPr>
          <w:rFonts w:ascii="David" w:eastAsia="Calibri" w:hAnsi="David" w:hint="cs"/>
          <w:noProof w:val="0"/>
          <w:rtl/>
        </w:rPr>
        <w:t xml:space="preserve">את הערך </w:t>
      </w:r>
      <w:r w:rsidRPr="00CC397E">
        <w:rPr>
          <w:rFonts w:ascii="David" w:eastAsia="Calibri" w:hAnsi="David" w:hint="cs"/>
          <w:b/>
          <w:bCs/>
          <w:noProof w:val="0"/>
          <w:rtl/>
        </w:rPr>
        <w:t>הרעיוני</w:t>
      </w:r>
      <w:r w:rsidRPr="00CC397E">
        <w:rPr>
          <w:rFonts w:ascii="David" w:eastAsia="Calibri" w:hAnsi="David" w:hint="cs"/>
          <w:noProof w:val="0"/>
          <w:rtl/>
        </w:rPr>
        <w:t xml:space="preserve"> של חלקו בפנסיה שלה, לו היתה מקבלת אותה, החל ממועד הזכאות לפרישה</w:t>
      </w:r>
      <w:r w:rsidR="00910062" w:rsidRPr="00CC397E">
        <w:rPr>
          <w:rFonts w:ascii="David" w:eastAsia="Calibri" w:hAnsi="David" w:hint="cs"/>
          <w:noProof w:val="0"/>
          <w:rtl/>
        </w:rPr>
        <w:t>;</w:t>
      </w:r>
      <w:r w:rsidR="00F97170" w:rsidRPr="00CC397E">
        <w:rPr>
          <w:rFonts w:ascii="David" w:eastAsia="Calibri" w:hAnsi="David" w:hint="cs"/>
          <w:noProof w:val="0"/>
          <w:rtl/>
        </w:rPr>
        <w:t xml:space="preserve"> </w:t>
      </w:r>
    </w:p>
    <w:p w:rsidR="00CC397E" w:rsidRDefault="00CC397E" w:rsidP="00CC397E">
      <w:pPr>
        <w:pStyle w:val="ad"/>
        <w:rPr>
          <w:rFonts w:ascii="David" w:eastAsia="Calibri" w:hAnsi="David"/>
          <w:noProof w:val="0"/>
          <w:rtl/>
        </w:rPr>
      </w:pPr>
    </w:p>
    <w:p w:rsidR="00ED2FB0" w:rsidRDefault="00ED2FB0" w:rsidP="00F63EDC">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וראו לעניין זה פסק דינה של חברתי כבוד השופט</w:t>
      </w:r>
      <w:r w:rsidR="004274CF">
        <w:rPr>
          <w:rFonts w:ascii="David" w:eastAsia="Calibri" w:hAnsi="David" w:hint="cs"/>
          <w:noProof w:val="0"/>
          <w:rtl/>
        </w:rPr>
        <w:t>ת</w:t>
      </w:r>
      <w:r>
        <w:rPr>
          <w:rFonts w:ascii="David" w:eastAsia="Calibri" w:hAnsi="David" w:hint="cs"/>
          <w:noProof w:val="0"/>
          <w:rtl/>
        </w:rPr>
        <w:t xml:space="preserve"> בן דור ליבל </w:t>
      </w:r>
      <w:r w:rsidR="00F82E72">
        <w:rPr>
          <w:rFonts w:ascii="David" w:eastAsia="Calibri" w:hAnsi="David" w:hint="cs"/>
          <w:noProof w:val="0"/>
          <w:rtl/>
        </w:rPr>
        <w:t>ב</w:t>
      </w:r>
      <w:r w:rsidR="00F82E72" w:rsidRPr="00F82E72">
        <w:rPr>
          <w:rFonts w:ascii="David" w:eastAsia="Calibri" w:hAnsi="David"/>
          <w:noProof w:val="0"/>
          <w:rtl/>
        </w:rPr>
        <w:t>תמ"ש (י</w:t>
      </w:r>
      <w:r w:rsidR="00F82E72">
        <w:rPr>
          <w:rFonts w:ascii="David" w:eastAsia="Calibri" w:hAnsi="David" w:hint="cs"/>
          <w:noProof w:val="0"/>
          <w:rtl/>
        </w:rPr>
        <w:t>-</w:t>
      </w:r>
      <w:r w:rsidR="00F82E72" w:rsidRPr="00F82E72">
        <w:rPr>
          <w:rFonts w:ascii="David" w:eastAsia="Calibri" w:hAnsi="David"/>
          <w:noProof w:val="0"/>
          <w:rtl/>
        </w:rPr>
        <w:t xml:space="preserve">ם) 5635-10-13 </w:t>
      </w:r>
      <w:r w:rsidR="00F82E72" w:rsidRPr="00F82E72">
        <w:rPr>
          <w:rFonts w:ascii="David" w:eastAsia="Calibri" w:hAnsi="David"/>
          <w:b/>
          <w:bCs/>
          <w:noProof w:val="0"/>
          <w:rtl/>
        </w:rPr>
        <w:t>פלוני נ' פלונית</w:t>
      </w:r>
      <w:r w:rsidR="00F82E72" w:rsidRPr="00F82E72">
        <w:rPr>
          <w:rFonts w:ascii="David" w:eastAsia="Calibri" w:hAnsi="David"/>
          <w:noProof w:val="0"/>
          <w:rtl/>
        </w:rPr>
        <w:t xml:space="preserve"> (23.04.2017)</w:t>
      </w:r>
      <w:r w:rsidR="00F82E72">
        <w:rPr>
          <w:rFonts w:ascii="David" w:eastAsia="Calibri" w:hAnsi="David" w:hint="cs"/>
          <w:noProof w:val="0"/>
          <w:rtl/>
        </w:rPr>
        <w:t>:</w:t>
      </w:r>
    </w:p>
    <w:p w:rsidR="00F82E72" w:rsidRDefault="00F82E72" w:rsidP="00F82E72">
      <w:pPr>
        <w:spacing w:after="160" w:line="360" w:lineRule="auto"/>
        <w:ind w:left="720"/>
        <w:contextualSpacing/>
        <w:jc w:val="both"/>
        <w:rPr>
          <w:rFonts w:ascii="David" w:eastAsia="Calibri" w:hAnsi="David"/>
          <w:noProof w:val="0"/>
          <w:rtl/>
        </w:rPr>
      </w:pPr>
    </w:p>
    <w:p w:rsidR="00ED2FB0" w:rsidRPr="00F82E72" w:rsidRDefault="00ED2FB0" w:rsidP="00910062">
      <w:pPr>
        <w:spacing w:line="360" w:lineRule="auto"/>
        <w:ind w:left="992" w:right="142"/>
        <w:contextualSpacing/>
        <w:jc w:val="both"/>
        <w:rPr>
          <w:b/>
          <w:bCs/>
        </w:rPr>
      </w:pPr>
      <w:r w:rsidRPr="00F82E72">
        <w:rPr>
          <w:rFonts w:hint="cs"/>
          <w:b/>
          <w:bCs/>
          <w:rtl/>
        </w:rPr>
        <w:t>"</w:t>
      </w:r>
      <w:r w:rsidRPr="00F82E72">
        <w:rPr>
          <w:b/>
          <w:bCs/>
          <w:rtl/>
        </w:rPr>
        <w:t xml:space="preserve">בנסיבות אלה, בהן הנתבעת בוחרת לדחות את  מועד פרישתה מעבודה למועד לא צפוי, למרות זכאותה לעשות כן זה מכבר, בהן לנתבע אין כל השפעה על קבלת החלטה זו ואימתי תארע בעתיד, ובהן אי התחשבות בפנסיה הרעיונית של הנתבעת תוביל לתוצאה לא שוויונית בה הכנסתה בתוספת למחצית מקצבת הפנסיה של התובע תהיה כפולה משלו, ועל מנת לשאוף לתוצאה צודקת והוגנת ובכדי לערוך איזון במועדי הפרישה הלא שוויוניים, מצאתי לקבל את הצעת התובע לחישוב </w:t>
      </w:r>
      <w:r w:rsidRPr="00F82E72">
        <w:rPr>
          <w:b/>
          <w:bCs/>
          <w:u w:val="single"/>
          <w:rtl/>
        </w:rPr>
        <w:t>הפנסיה הרעיונית של הנתבעת</w:t>
      </w:r>
      <w:r w:rsidRPr="00F82E72">
        <w:rPr>
          <w:b/>
          <w:bCs/>
          <w:rtl/>
        </w:rPr>
        <w:t xml:space="preserve"> ולהורות כי המומחה יערוך </w:t>
      </w:r>
      <w:r w:rsidRPr="00B323CE">
        <w:rPr>
          <w:b/>
          <w:bCs/>
          <w:rtl/>
        </w:rPr>
        <w:t>תחשיב רעיוני של חלקו של התובע בפנסיית הנתבעת לו הייתה פורשת במועד הקובע, ולקזז</w:t>
      </w:r>
      <w:r w:rsidRPr="00F82E72">
        <w:rPr>
          <w:b/>
          <w:bCs/>
          <w:rtl/>
        </w:rPr>
        <w:t xml:space="preserve"> מחלקה של הנתבעת בפנסיה המוקדמת של התובע את חלקו של התובע בפנסיה הרעיונית שלה [ראו לעניין זה פסק דיני בתמ"ש (י-ם) 30831-03-12 </w:t>
      </w:r>
      <w:r w:rsidRPr="00F82E72">
        <w:rPr>
          <w:b/>
          <w:bCs/>
          <w:u w:val="single"/>
          <w:rtl/>
        </w:rPr>
        <w:t>א.ה נ' ה</w:t>
      </w:r>
      <w:r w:rsidRPr="00F82E72">
        <w:rPr>
          <w:b/>
          <w:bCs/>
          <w:rtl/>
        </w:rPr>
        <w:t xml:space="preserve"> (פורסם בנבו, 27.9.14); וכן תמ"ש (ת"א) 48482/07 </w:t>
      </w:r>
      <w:r w:rsidRPr="00F82E72">
        <w:rPr>
          <w:b/>
          <w:bCs/>
          <w:u w:val="single"/>
          <w:rtl/>
        </w:rPr>
        <w:t>ש.מ נ' א.מ</w:t>
      </w:r>
      <w:r w:rsidRPr="00F82E72">
        <w:rPr>
          <w:b/>
          <w:bCs/>
          <w:rtl/>
        </w:rPr>
        <w:t xml:space="preserve"> (פורסם בנבו, 30.11.11); תמ"ש (נצ') 55595-02-12 </w:t>
      </w:r>
      <w:r w:rsidRPr="00F82E72">
        <w:rPr>
          <w:b/>
          <w:bCs/>
          <w:u w:val="single"/>
          <w:rtl/>
        </w:rPr>
        <w:t>ח.נ נ' ד.נ</w:t>
      </w:r>
      <w:r w:rsidRPr="00F82E72">
        <w:rPr>
          <w:b/>
          <w:bCs/>
          <w:rtl/>
        </w:rPr>
        <w:t xml:space="preserve"> (פורסם בנבו, 3.3.13)]. </w:t>
      </w:r>
      <w:r w:rsidR="00F82E72">
        <w:rPr>
          <w:rFonts w:hint="cs"/>
          <w:b/>
          <w:bCs/>
          <w:rtl/>
        </w:rPr>
        <w:t xml:space="preserve">" </w:t>
      </w:r>
      <w:r w:rsidR="00F82E72" w:rsidRPr="00F82E72">
        <w:rPr>
          <w:rFonts w:hint="cs"/>
          <w:rtl/>
        </w:rPr>
        <w:t>(הדגשות שלי- ה.ג.)</w:t>
      </w:r>
      <w:r w:rsidR="00F82E72">
        <w:rPr>
          <w:rFonts w:hint="cs"/>
          <w:b/>
          <w:bCs/>
          <w:rtl/>
        </w:rPr>
        <w:t>.</w:t>
      </w:r>
    </w:p>
    <w:p w:rsidR="00ED2FB0" w:rsidRDefault="00ED2FB0" w:rsidP="00ED2FB0">
      <w:pPr>
        <w:spacing w:line="360" w:lineRule="auto"/>
        <w:ind w:left="720"/>
        <w:contextualSpacing/>
        <w:jc w:val="both"/>
      </w:pPr>
    </w:p>
    <w:p w:rsidR="004509C1" w:rsidRDefault="00F664BD" w:rsidP="00F63EDC">
      <w:pPr>
        <w:numPr>
          <w:ilvl w:val="0"/>
          <w:numId w:val="1"/>
        </w:numPr>
        <w:spacing w:after="160" w:line="360" w:lineRule="auto"/>
        <w:contextualSpacing/>
        <w:jc w:val="both"/>
        <w:rPr>
          <w:rFonts w:ascii="David" w:eastAsia="Calibri" w:hAnsi="David"/>
          <w:noProof w:val="0"/>
        </w:rPr>
      </w:pPr>
      <w:r w:rsidRPr="005331CE">
        <w:rPr>
          <w:rFonts w:ascii="David" w:eastAsia="Calibri" w:hAnsi="David" w:hint="cs"/>
          <w:noProof w:val="0"/>
          <w:rtl/>
        </w:rPr>
        <w:t xml:space="preserve">לעניין </w:t>
      </w:r>
      <w:r w:rsidR="00790943">
        <w:rPr>
          <w:rFonts w:ascii="David" w:eastAsia="Calibri" w:hAnsi="David" w:hint="cs"/>
          <w:noProof w:val="0"/>
          <w:rtl/>
        </w:rPr>
        <w:t xml:space="preserve">זכותה של </w:t>
      </w:r>
      <w:r w:rsidR="002A21D0">
        <w:rPr>
          <w:rFonts w:ascii="David" w:eastAsia="Calibri" w:hAnsi="David" w:hint="cs"/>
          <w:noProof w:val="0"/>
          <w:rtl/>
        </w:rPr>
        <w:t>הנתבעת</w:t>
      </w:r>
      <w:r w:rsidR="00790943">
        <w:rPr>
          <w:rFonts w:ascii="David" w:eastAsia="Calibri" w:hAnsi="David" w:hint="cs"/>
          <w:noProof w:val="0"/>
          <w:rtl/>
        </w:rPr>
        <w:t xml:space="preserve"> להמשיך ולעבוד גם לאחר גיל הזכאות לפרישה ראו </w:t>
      </w:r>
      <w:r w:rsidR="006B75C1" w:rsidRPr="005331CE">
        <w:rPr>
          <w:rFonts w:ascii="David" w:eastAsia="Calibri" w:hAnsi="David"/>
          <w:noProof w:val="0"/>
          <w:rtl/>
        </w:rPr>
        <w:t xml:space="preserve">עמ"ש (מחוזי תל אביב-יפו) 35049-10-16 </w:t>
      </w:r>
      <w:r w:rsidR="006B75C1" w:rsidRPr="005331CE">
        <w:rPr>
          <w:rFonts w:ascii="David" w:eastAsia="Calibri" w:hAnsi="David"/>
          <w:b/>
          <w:bCs/>
          <w:noProof w:val="0"/>
          <w:rtl/>
        </w:rPr>
        <w:t>פלוני נ' פלונית</w:t>
      </w:r>
      <w:r w:rsidR="006B75C1" w:rsidRPr="005331CE">
        <w:rPr>
          <w:rFonts w:ascii="David" w:eastAsia="Calibri" w:hAnsi="David"/>
          <w:noProof w:val="0"/>
          <w:rtl/>
        </w:rPr>
        <w:t xml:space="preserve"> (02.05.2019)‏‏</w:t>
      </w:r>
      <w:r w:rsidR="009A1BED" w:rsidRPr="005331CE">
        <w:rPr>
          <w:rFonts w:ascii="David" w:eastAsia="Calibri" w:hAnsi="David" w:hint="cs"/>
          <w:noProof w:val="0"/>
          <w:rtl/>
        </w:rPr>
        <w:t xml:space="preserve">, </w:t>
      </w:r>
      <w:r w:rsidRPr="005331CE">
        <w:rPr>
          <w:rFonts w:ascii="David" w:eastAsia="Calibri" w:hAnsi="David" w:hint="cs"/>
          <w:noProof w:val="0"/>
          <w:rtl/>
        </w:rPr>
        <w:t xml:space="preserve">וכן </w:t>
      </w:r>
      <w:r w:rsidR="007B7BD4" w:rsidRPr="005331CE">
        <w:rPr>
          <w:rFonts w:ascii="David" w:eastAsia="Calibri" w:hAnsi="David"/>
          <w:noProof w:val="0"/>
          <w:rtl/>
        </w:rPr>
        <w:t xml:space="preserve">תמ"ש (משפחה תל אביב-יפו) 58061-06-17 </w:t>
      </w:r>
      <w:r w:rsidR="007B7BD4" w:rsidRPr="005331CE">
        <w:rPr>
          <w:rFonts w:ascii="David" w:eastAsia="Calibri" w:hAnsi="David"/>
          <w:b/>
          <w:bCs/>
          <w:noProof w:val="0"/>
          <w:rtl/>
        </w:rPr>
        <w:t>ו.פ נ' צ.פ</w:t>
      </w:r>
      <w:r w:rsidR="007B7BD4" w:rsidRPr="005331CE">
        <w:rPr>
          <w:rFonts w:ascii="David" w:eastAsia="Calibri" w:hAnsi="David"/>
          <w:noProof w:val="0"/>
          <w:rtl/>
        </w:rPr>
        <w:t xml:space="preserve"> (20.07.2022)</w:t>
      </w:r>
      <w:r w:rsidR="004509C1">
        <w:rPr>
          <w:rFonts w:ascii="David" w:eastAsia="Calibri" w:hAnsi="David" w:hint="cs"/>
          <w:noProof w:val="0"/>
          <w:rtl/>
        </w:rPr>
        <w:t>.</w:t>
      </w:r>
    </w:p>
    <w:p w:rsidR="00CC397E" w:rsidRDefault="00CC397E" w:rsidP="00CC397E">
      <w:pPr>
        <w:spacing w:after="160" w:line="360" w:lineRule="auto"/>
        <w:ind w:left="720"/>
        <w:contextualSpacing/>
        <w:jc w:val="both"/>
        <w:rPr>
          <w:rFonts w:ascii="David" w:eastAsia="Calibri" w:hAnsi="David"/>
          <w:noProof w:val="0"/>
        </w:rPr>
      </w:pPr>
    </w:p>
    <w:p w:rsidR="00F10E03" w:rsidRDefault="001956B0" w:rsidP="00F63EDC">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lastRenderedPageBreak/>
        <w:t xml:space="preserve">לא מצאתי כי ניתן להקיש מתלה"מ (משפחה חיפה) 51937-05-20 </w:t>
      </w:r>
      <w:r w:rsidRPr="001956B0">
        <w:rPr>
          <w:rFonts w:ascii="David" w:eastAsia="Calibri" w:hAnsi="David"/>
          <w:b/>
          <w:bCs/>
          <w:noProof w:val="0"/>
          <w:rtl/>
        </w:rPr>
        <w:t>ח.ט נ' חנ.ט</w:t>
      </w:r>
      <w:r w:rsidRPr="001956B0">
        <w:rPr>
          <w:rFonts w:ascii="David" w:eastAsia="Calibri" w:hAnsi="David"/>
          <w:noProof w:val="0"/>
          <w:rtl/>
        </w:rPr>
        <w:t xml:space="preserve"> (22.08.2021)‏‏ אליו הפנתה הנתבעת בסיכומי תשובתה, לענייננו אנו, לאחר שבאותה פרשה ההוראה האופרטיבית בפסה"ד לחלוקה, מנוסחת במילים "ועד לפרישת האישה מעבודה" וגם "החל מיום פרישת האישה", ול</w:t>
      </w:r>
      <w:r w:rsidR="00F10E03">
        <w:rPr>
          <w:rFonts w:ascii="David" w:eastAsia="Calibri" w:hAnsi="David" w:hint="cs"/>
          <w:noProof w:val="0"/>
          <w:rtl/>
        </w:rPr>
        <w:t>פיכך הוכרה כגיל הפרישה בפועל</w:t>
      </w:r>
      <w:r w:rsidR="00BF4995">
        <w:rPr>
          <w:rFonts w:ascii="David" w:eastAsia="Calibri" w:hAnsi="David" w:hint="cs"/>
          <w:noProof w:val="0"/>
          <w:rtl/>
        </w:rPr>
        <w:t>, לאור נוסח פסק הדין, מה שאין כן בעניינו</w:t>
      </w:r>
      <w:r w:rsidR="00F10E03">
        <w:rPr>
          <w:rFonts w:ascii="David" w:eastAsia="Calibri" w:hAnsi="David" w:hint="cs"/>
          <w:noProof w:val="0"/>
          <w:rtl/>
        </w:rPr>
        <w:t>.</w:t>
      </w:r>
    </w:p>
    <w:p w:rsidR="00F10E03" w:rsidRDefault="00F10E03" w:rsidP="00F10E03">
      <w:pPr>
        <w:spacing w:after="160" w:line="360" w:lineRule="auto"/>
        <w:ind w:left="720"/>
        <w:contextualSpacing/>
        <w:jc w:val="both"/>
        <w:rPr>
          <w:rFonts w:ascii="David" w:eastAsia="Calibri" w:hAnsi="David"/>
          <w:noProof w:val="0"/>
        </w:rPr>
      </w:pPr>
    </w:p>
    <w:p w:rsidR="001956B0" w:rsidRPr="006B41B5" w:rsidRDefault="001956B0" w:rsidP="001120A3">
      <w:pPr>
        <w:numPr>
          <w:ilvl w:val="0"/>
          <w:numId w:val="1"/>
        </w:numPr>
        <w:spacing w:after="160" w:line="360" w:lineRule="auto"/>
        <w:contextualSpacing/>
        <w:jc w:val="both"/>
        <w:rPr>
          <w:rFonts w:ascii="David" w:eastAsia="Calibri" w:hAnsi="David"/>
          <w:noProof w:val="0"/>
        </w:rPr>
      </w:pPr>
      <w:r w:rsidRPr="006B41B5">
        <w:rPr>
          <w:rFonts w:ascii="David" w:eastAsia="Calibri" w:hAnsi="David"/>
          <w:noProof w:val="0"/>
          <w:rtl/>
        </w:rPr>
        <w:t xml:space="preserve">הפסיקה אליה הפנתה הנתבעת לעניין עקרון השוויון בנוגע לגיל פרישה אחיד ואיסור הפליה, </w:t>
      </w:r>
      <w:r w:rsidR="00F10E03" w:rsidRPr="006B41B5">
        <w:rPr>
          <w:rFonts w:ascii="David" w:eastAsia="Calibri" w:hAnsi="David" w:hint="cs"/>
          <w:noProof w:val="0"/>
          <w:rtl/>
        </w:rPr>
        <w:t xml:space="preserve">אף היא אינה רלוונטית לעניינו, שכן היא </w:t>
      </w:r>
      <w:r w:rsidRPr="006B41B5">
        <w:rPr>
          <w:rFonts w:ascii="David" w:eastAsia="Calibri" w:hAnsi="David"/>
          <w:noProof w:val="0"/>
          <w:rtl/>
        </w:rPr>
        <w:t xml:space="preserve">מתייחסת להפליה שנעשתה בין שתי קבוצות עובדים שונות של עובדי המדינה ביחס למועד גיל פרישת </w:t>
      </w:r>
      <w:r w:rsidRPr="006B41B5">
        <w:rPr>
          <w:rFonts w:ascii="David" w:eastAsia="Calibri" w:hAnsi="David"/>
          <w:b/>
          <w:bCs/>
          <w:noProof w:val="0"/>
          <w:rtl/>
        </w:rPr>
        <w:t>חובה</w:t>
      </w:r>
      <w:r w:rsidRPr="006B41B5">
        <w:rPr>
          <w:rFonts w:ascii="David" w:eastAsia="Calibri" w:hAnsi="David"/>
          <w:noProof w:val="0"/>
          <w:rtl/>
        </w:rPr>
        <w:t xml:space="preserve"> (בו ניתן לכפות עליהם לצאת לגמלאות)</w:t>
      </w:r>
      <w:r w:rsidR="006B41B5" w:rsidRPr="006B41B5">
        <w:rPr>
          <w:rFonts w:ascii="David" w:eastAsia="Calibri" w:hAnsi="David" w:hint="cs"/>
          <w:noProof w:val="0"/>
          <w:rtl/>
        </w:rPr>
        <w:t xml:space="preserve">, </w:t>
      </w:r>
      <w:r w:rsidRPr="006B41B5">
        <w:rPr>
          <w:rFonts w:ascii="David" w:eastAsia="Calibri" w:hAnsi="David"/>
          <w:noProof w:val="0"/>
          <w:rtl/>
        </w:rPr>
        <w:t>ו</w:t>
      </w:r>
      <w:r w:rsidR="00F10E03" w:rsidRPr="006B41B5">
        <w:rPr>
          <w:rFonts w:ascii="David" w:eastAsia="Calibri" w:hAnsi="David" w:hint="cs"/>
          <w:noProof w:val="0"/>
          <w:rtl/>
        </w:rPr>
        <w:t xml:space="preserve">לא </w:t>
      </w:r>
      <w:r w:rsidRPr="006B41B5">
        <w:rPr>
          <w:rFonts w:ascii="David" w:eastAsia="Calibri" w:hAnsi="David"/>
          <w:noProof w:val="0"/>
          <w:rtl/>
        </w:rPr>
        <w:t xml:space="preserve">לעניינינו אנו, </w:t>
      </w:r>
      <w:r w:rsidR="006B41B5" w:rsidRPr="006B41B5">
        <w:rPr>
          <w:rFonts w:ascii="David" w:eastAsia="Calibri" w:hAnsi="David" w:hint="cs"/>
          <w:noProof w:val="0"/>
          <w:rtl/>
        </w:rPr>
        <w:t xml:space="preserve">העוסק </w:t>
      </w:r>
      <w:r w:rsidRPr="00CC397E">
        <w:rPr>
          <w:rFonts w:ascii="David" w:eastAsia="Calibri" w:hAnsi="David"/>
          <w:b/>
          <w:bCs/>
          <w:noProof w:val="0"/>
          <w:rtl/>
        </w:rPr>
        <w:t>ב</w:t>
      </w:r>
      <w:r w:rsidR="001120A3" w:rsidRPr="00CC397E">
        <w:rPr>
          <w:rFonts w:ascii="David" w:eastAsia="Calibri" w:hAnsi="David" w:hint="cs"/>
          <w:b/>
          <w:bCs/>
          <w:noProof w:val="0"/>
          <w:rtl/>
        </w:rPr>
        <w:t>חוק</w:t>
      </w:r>
      <w:r w:rsidR="001120A3">
        <w:rPr>
          <w:rFonts w:ascii="David" w:eastAsia="Calibri" w:hAnsi="David" w:hint="cs"/>
          <w:noProof w:val="0"/>
          <w:rtl/>
        </w:rPr>
        <w:t xml:space="preserve"> </w:t>
      </w:r>
      <w:r w:rsidRPr="006B41B5">
        <w:rPr>
          <w:rFonts w:ascii="David" w:eastAsia="Calibri" w:hAnsi="David"/>
          <w:noProof w:val="0"/>
          <w:rtl/>
        </w:rPr>
        <w:t xml:space="preserve"> המורה על גיל שונה לקבוצות המגדר השונות בכל הנוגע לגיל </w:t>
      </w:r>
      <w:r w:rsidRPr="006B41B5">
        <w:rPr>
          <w:rFonts w:ascii="David" w:eastAsia="Calibri" w:hAnsi="David"/>
          <w:b/>
          <w:bCs/>
          <w:noProof w:val="0"/>
          <w:rtl/>
        </w:rPr>
        <w:t>זכאות</w:t>
      </w:r>
      <w:r w:rsidRPr="006B41B5">
        <w:rPr>
          <w:rFonts w:ascii="David" w:eastAsia="Calibri" w:hAnsi="David"/>
          <w:noProof w:val="0"/>
          <w:rtl/>
        </w:rPr>
        <w:t xml:space="preserve"> לפרישה, להבדיל מגיל פרישת חובה, </w:t>
      </w:r>
      <w:r w:rsidR="00C05B52">
        <w:rPr>
          <w:rFonts w:ascii="David" w:eastAsia="Calibri" w:hAnsi="David" w:hint="cs"/>
          <w:noProof w:val="0"/>
          <w:rtl/>
        </w:rPr>
        <w:t xml:space="preserve">כאשר </w:t>
      </w:r>
      <w:r w:rsidRPr="006B41B5">
        <w:rPr>
          <w:rFonts w:ascii="David" w:eastAsia="Calibri" w:hAnsi="David"/>
          <w:noProof w:val="0"/>
          <w:rtl/>
        </w:rPr>
        <w:t>המומחה הבהיר כי גיל הזכאות לפרישה הוא הנוהג לעניין חישוב זכויות מהוונות.</w:t>
      </w:r>
    </w:p>
    <w:p w:rsidR="001956B0" w:rsidRPr="001120A3" w:rsidRDefault="001956B0" w:rsidP="001956B0">
      <w:pPr>
        <w:spacing w:after="160" w:line="256" w:lineRule="auto"/>
        <w:ind w:left="720"/>
        <w:contextualSpacing/>
        <w:rPr>
          <w:rFonts w:ascii="David" w:eastAsia="Calibri" w:hAnsi="David"/>
          <w:noProof w:val="0"/>
        </w:rPr>
      </w:pPr>
    </w:p>
    <w:p w:rsidR="001956B0" w:rsidRPr="001956B0" w:rsidRDefault="001956B0" w:rsidP="001120A3">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כפי שנאמר בבג"ץ 10076/02 </w:t>
      </w:r>
      <w:r w:rsidRPr="001956B0">
        <w:rPr>
          <w:rFonts w:ascii="David" w:eastAsia="Calibri" w:hAnsi="David"/>
          <w:b/>
          <w:bCs/>
          <w:noProof w:val="0"/>
          <w:rtl/>
        </w:rPr>
        <w:t>ד"ר יורי רוזנבאום נ' נציב שירות בתי הסוהר</w:t>
      </w:r>
      <w:r w:rsidRPr="001956B0">
        <w:rPr>
          <w:rFonts w:ascii="David" w:eastAsia="Calibri" w:hAnsi="David"/>
          <w:noProof w:val="0"/>
          <w:rtl/>
        </w:rPr>
        <w:t>, פ"ד סא(3) 857 (2006)‏, אליו הפנתה הנתבעת בסיכומיה: "</w:t>
      </w:r>
      <w:r w:rsidRPr="001956B0">
        <w:rPr>
          <w:rFonts w:ascii="David" w:eastAsia="Calibri" w:hAnsi="David"/>
          <w:b/>
          <w:bCs/>
          <w:noProof w:val="0"/>
          <w:rtl/>
        </w:rPr>
        <w:t>נמצא, כי השוויון אינו מחייב זהות. לעתים לשם השגת שוויון יש לפעול מתוך שונות (ראו בג"ץ 246/81 אגודת דרך ארץ נ' רשות השידור, פ"ד לה(4) 1, 11). אכן, עקרון השוויון אינו דורש דינים זהים לכל. הוא דורש דינים זהים לאנשים זהים, ודינים שונים לאנשים שונים. הוא דורש, כי דין שונה יוצדק על פי טיב העניין ומהותו. אכן, "עקרון השוויון מניח קיומם של טעמים ענייניים המצדיקים שינוי" (בג"ץ 1703/92 ק.א.ל. קווי אויר למטען בע"מ נ' ראש הממשלה, פ"ד נב(4) 193, 230)</w:t>
      </w:r>
      <w:r w:rsidRPr="001956B0">
        <w:rPr>
          <w:rFonts w:ascii="David" w:eastAsia="Calibri" w:hAnsi="David"/>
          <w:b/>
          <w:bCs/>
          <w:noProof w:val="0"/>
        </w:rPr>
        <w:t>."</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1120A3">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lastRenderedPageBreak/>
        <w:t>בנסיבות בהן נקבע</w:t>
      </w:r>
      <w:r w:rsidR="00E672C9">
        <w:rPr>
          <w:rFonts w:ascii="David" w:eastAsia="Calibri" w:hAnsi="David" w:hint="cs"/>
          <w:noProof w:val="0"/>
          <w:rtl/>
        </w:rPr>
        <w:t xml:space="preserve"> </w:t>
      </w:r>
      <w:r w:rsidR="00E672C9" w:rsidRPr="00E672C9">
        <w:rPr>
          <w:rFonts w:ascii="David" w:eastAsia="Calibri" w:hAnsi="David" w:hint="cs"/>
          <w:b/>
          <w:bCs/>
          <w:noProof w:val="0"/>
          <w:rtl/>
        </w:rPr>
        <w:t>בחוק</w:t>
      </w:r>
      <w:r w:rsidR="00E672C9">
        <w:rPr>
          <w:rFonts w:ascii="David" w:eastAsia="Calibri" w:hAnsi="David" w:hint="cs"/>
          <w:noProof w:val="0"/>
          <w:rtl/>
        </w:rPr>
        <w:t xml:space="preserve"> </w:t>
      </w:r>
      <w:r w:rsidRPr="001956B0">
        <w:rPr>
          <w:rFonts w:ascii="David" w:eastAsia="Calibri" w:hAnsi="David"/>
          <w:noProof w:val="0"/>
          <w:rtl/>
        </w:rPr>
        <w:t xml:space="preserve">דין שונה ביחס לנשים ולגברים בנוגע לגיל </w:t>
      </w:r>
      <w:r w:rsidRPr="001956B0">
        <w:rPr>
          <w:rFonts w:ascii="David" w:eastAsia="Calibri" w:hAnsi="David"/>
          <w:b/>
          <w:bCs/>
          <w:noProof w:val="0"/>
          <w:rtl/>
        </w:rPr>
        <w:t>הזכאות</w:t>
      </w:r>
      <w:r w:rsidRPr="001956B0">
        <w:rPr>
          <w:rFonts w:ascii="David" w:eastAsia="Calibri" w:hAnsi="David"/>
          <w:noProof w:val="0"/>
          <w:rtl/>
        </w:rPr>
        <w:t xml:space="preserve"> לפרישה, הרי שאין מקום לדיון העוסק בהפליה אסורה, שכן החוק הוא זה שנקט בדרך של </w:t>
      </w:r>
      <w:r w:rsidRPr="006B41B5">
        <w:rPr>
          <w:rFonts w:ascii="David" w:eastAsia="Calibri" w:hAnsi="David"/>
          <w:b/>
          <w:bCs/>
          <w:noProof w:val="0"/>
          <w:rtl/>
        </w:rPr>
        <w:t>שוויון מהותי</w:t>
      </w:r>
      <w:r w:rsidR="001120A3">
        <w:rPr>
          <w:rFonts w:ascii="David" w:eastAsia="Calibri" w:hAnsi="David" w:hint="cs"/>
          <w:noProof w:val="0"/>
          <w:rtl/>
        </w:rPr>
        <w:t>. מכל מקום ככל ש</w:t>
      </w:r>
      <w:r w:rsidR="00E672C9">
        <w:rPr>
          <w:rFonts w:ascii="David" w:eastAsia="Calibri" w:hAnsi="David" w:hint="cs"/>
          <w:noProof w:val="0"/>
          <w:rtl/>
        </w:rPr>
        <w:t>השגות</w:t>
      </w:r>
      <w:r w:rsidR="001120A3">
        <w:rPr>
          <w:rFonts w:ascii="David" w:eastAsia="Calibri" w:hAnsi="David" w:hint="cs"/>
          <w:noProof w:val="0"/>
          <w:rtl/>
        </w:rPr>
        <w:t xml:space="preserve"> </w:t>
      </w:r>
      <w:r w:rsidR="00E672C9">
        <w:rPr>
          <w:rFonts w:ascii="David" w:eastAsia="Calibri" w:hAnsi="David" w:hint="cs"/>
          <w:noProof w:val="0"/>
          <w:rtl/>
        </w:rPr>
        <w:t>ה</w:t>
      </w:r>
      <w:r w:rsidR="001120A3">
        <w:rPr>
          <w:rFonts w:ascii="David" w:eastAsia="Calibri" w:hAnsi="David" w:hint="cs"/>
          <w:noProof w:val="0"/>
          <w:rtl/>
        </w:rPr>
        <w:t>נתבעת</w:t>
      </w:r>
      <w:r w:rsidR="00E672C9">
        <w:rPr>
          <w:rFonts w:ascii="David" w:eastAsia="Calibri" w:hAnsi="David" w:hint="cs"/>
          <w:noProof w:val="0"/>
          <w:rtl/>
        </w:rPr>
        <w:t xml:space="preserve"> מכוונות כנגד הוראות החוק</w:t>
      </w:r>
      <w:r w:rsidR="001120A3">
        <w:rPr>
          <w:rFonts w:ascii="David" w:eastAsia="Calibri" w:hAnsi="David" w:hint="cs"/>
          <w:noProof w:val="0"/>
          <w:rtl/>
        </w:rPr>
        <w:t>, ברי כי אינן יכולות להתברר במסגרת דיונית זו</w:t>
      </w:r>
      <w:r w:rsidRPr="001956B0">
        <w:rPr>
          <w:rFonts w:ascii="David" w:eastAsia="Calibri" w:hAnsi="David"/>
          <w:noProof w:val="0"/>
          <w:rtl/>
        </w:rPr>
        <w:t>.</w:t>
      </w:r>
    </w:p>
    <w:p w:rsidR="001956B0" w:rsidRPr="001956B0" w:rsidRDefault="001956B0" w:rsidP="001956B0">
      <w:pPr>
        <w:spacing w:after="160" w:line="256" w:lineRule="auto"/>
        <w:ind w:left="720"/>
        <w:contextualSpacing/>
        <w:rPr>
          <w:rFonts w:ascii="David" w:eastAsia="Calibri" w:hAnsi="David"/>
          <w:noProof w:val="0"/>
        </w:rPr>
      </w:pPr>
    </w:p>
    <w:p w:rsidR="00356E4F" w:rsidRPr="00356E4F" w:rsidRDefault="005A743A" w:rsidP="00356E4F">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יוער כי </w:t>
      </w:r>
      <w:r w:rsidR="00356E4F" w:rsidRPr="00356E4F">
        <w:rPr>
          <w:rFonts w:ascii="David" w:eastAsia="Calibri" w:hAnsi="David"/>
          <w:noProof w:val="0"/>
          <w:rtl/>
        </w:rPr>
        <w:t>בניגוד לטענת הנתבעת בסיכומי תשובתה (סעיף 3 פסקה 3), כאילו המומחה הפלה בין הצדדים בחוות דעתו "</w:t>
      </w:r>
      <w:r w:rsidR="00356E4F" w:rsidRPr="00AD3D48">
        <w:rPr>
          <w:rFonts w:ascii="David" w:eastAsia="Calibri" w:hAnsi="David"/>
          <w:b/>
          <w:bCs/>
          <w:noProof w:val="0"/>
          <w:rtl/>
        </w:rPr>
        <w:t xml:space="preserve">בחישוב פרישה </w:t>
      </w:r>
      <w:r w:rsidR="00356E4F" w:rsidRPr="00AD3D48">
        <w:rPr>
          <w:rFonts w:ascii="David" w:eastAsia="Calibri" w:hAnsi="David"/>
          <w:b/>
          <w:bCs/>
          <w:noProof w:val="0"/>
          <w:u w:val="single"/>
          <w:rtl/>
        </w:rPr>
        <w:t>מוקדמת</w:t>
      </w:r>
      <w:r w:rsidR="00356E4F" w:rsidRPr="00AD3D48">
        <w:rPr>
          <w:rFonts w:ascii="David" w:eastAsia="Calibri" w:hAnsi="David"/>
          <w:b/>
          <w:bCs/>
          <w:noProof w:val="0"/>
          <w:rtl/>
        </w:rPr>
        <w:t xml:space="preserve"> של האשה לפני גיל 67 בניגוד לבעל</w:t>
      </w:r>
      <w:r w:rsidR="00356E4F" w:rsidRPr="00356E4F">
        <w:rPr>
          <w:rFonts w:ascii="David" w:eastAsia="Calibri" w:hAnsi="David"/>
          <w:noProof w:val="0"/>
          <w:rtl/>
        </w:rPr>
        <w:t xml:space="preserve">", המומחה </w:t>
      </w:r>
      <w:r w:rsidR="00356E4F" w:rsidRPr="00356E4F">
        <w:rPr>
          <w:rFonts w:ascii="David" w:eastAsia="Calibri" w:hAnsi="David" w:hint="cs"/>
          <w:noProof w:val="0"/>
          <w:rtl/>
        </w:rPr>
        <w:t xml:space="preserve">התייחס לגיל </w:t>
      </w:r>
      <w:r w:rsidR="00356E4F" w:rsidRPr="00AD3D48">
        <w:rPr>
          <w:rFonts w:ascii="David" w:eastAsia="Calibri" w:hAnsi="David" w:hint="cs"/>
          <w:b/>
          <w:bCs/>
          <w:noProof w:val="0"/>
          <w:u w:val="single"/>
          <w:rtl/>
        </w:rPr>
        <w:t>הזכאות</w:t>
      </w:r>
      <w:r w:rsidR="00356E4F" w:rsidRPr="00356E4F">
        <w:rPr>
          <w:rFonts w:ascii="David" w:eastAsia="Calibri" w:hAnsi="David" w:hint="cs"/>
          <w:noProof w:val="0"/>
          <w:rtl/>
        </w:rPr>
        <w:t xml:space="preserve"> לפרישה, ו</w:t>
      </w:r>
      <w:r w:rsidR="00356E4F" w:rsidRPr="00356E4F">
        <w:rPr>
          <w:rFonts w:ascii="David" w:eastAsia="Calibri" w:hAnsi="David"/>
          <w:noProof w:val="0"/>
          <w:rtl/>
        </w:rPr>
        <w:t xml:space="preserve">לא </w:t>
      </w:r>
      <w:r w:rsidR="00356E4F" w:rsidRPr="00356E4F">
        <w:rPr>
          <w:rFonts w:ascii="David" w:eastAsia="Calibri" w:hAnsi="David" w:hint="cs"/>
          <w:noProof w:val="0"/>
          <w:rtl/>
        </w:rPr>
        <w:t>התייחס ל</w:t>
      </w:r>
      <w:r w:rsidR="00356E4F" w:rsidRPr="00356E4F">
        <w:rPr>
          <w:rFonts w:ascii="David" w:eastAsia="Calibri" w:hAnsi="David"/>
          <w:noProof w:val="0"/>
          <w:rtl/>
        </w:rPr>
        <w:t>מועד פרישה מוקדמת של הצדדים, אשר בסעיף 5 לחוק גיל הפרישה נקבע כי הוא זהה לגבר ולאישה – "</w:t>
      </w:r>
      <w:r w:rsidR="00356E4F" w:rsidRPr="00AD3D48">
        <w:rPr>
          <w:rFonts w:ascii="David" w:eastAsia="Calibri" w:hAnsi="David"/>
          <w:b/>
          <w:bCs/>
          <w:noProof w:val="0"/>
          <w:rtl/>
        </w:rPr>
        <w:t xml:space="preserve">הגיל שבהגיעו אליו </w:t>
      </w:r>
      <w:r w:rsidR="00356E4F" w:rsidRPr="00AD3D48">
        <w:rPr>
          <w:rFonts w:ascii="David" w:eastAsia="Calibri" w:hAnsi="David"/>
          <w:b/>
          <w:bCs/>
          <w:noProof w:val="0"/>
          <w:u w:val="single"/>
          <w:rtl/>
        </w:rPr>
        <w:t>זכאי</w:t>
      </w:r>
      <w:r w:rsidR="00356E4F" w:rsidRPr="00AD3D48">
        <w:rPr>
          <w:rFonts w:ascii="David" w:eastAsia="Calibri" w:hAnsi="David"/>
          <w:b/>
          <w:bCs/>
          <w:noProof w:val="0"/>
          <w:rtl/>
        </w:rPr>
        <w:t xml:space="preserve"> אדם לקבל גמלה, בהתקיים התנאים הקבועים לכך על פי דין או הסכם, מחמת פרישתו מעבודתו בשל גילו אף בטרם הגיעו לגיל הפרישה, הוא גיל 60 לגבר ולאישה</w:t>
      </w:r>
      <w:r w:rsidR="00356E4F" w:rsidRPr="00356E4F">
        <w:rPr>
          <w:rFonts w:ascii="David" w:eastAsia="Calibri" w:hAnsi="David"/>
          <w:noProof w:val="0"/>
          <w:rtl/>
        </w:rPr>
        <w:t>".</w:t>
      </w:r>
    </w:p>
    <w:p w:rsidR="001956B0" w:rsidRDefault="001956B0" w:rsidP="00A67C4E">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 xml:space="preserve">בכל הנוגע </w:t>
      </w:r>
      <w:r w:rsidR="00762B85">
        <w:rPr>
          <w:rFonts w:ascii="David" w:eastAsia="Calibri" w:hAnsi="David" w:hint="cs"/>
          <w:noProof w:val="0"/>
          <w:rtl/>
        </w:rPr>
        <w:t>לטענת</w:t>
      </w:r>
      <w:r w:rsidRPr="001956B0">
        <w:rPr>
          <w:rFonts w:ascii="David" w:eastAsia="Calibri" w:hAnsi="David"/>
          <w:noProof w:val="0"/>
          <w:rtl/>
        </w:rPr>
        <w:t xml:space="preserve"> הנתבעת לחישוב הזכויות של התובע מגיל 43 עת לשיטתה הוא יכול היה לפרוש מעבודתו במערכת הביטחון עם מלוא זכויותיו הפנסיוניות, טענה זו לא הוכחה על ידה כדבעי. הנתבעת לא פנתה אל המומחה בשאלת הבהרה לעניין זה, </w:t>
      </w:r>
      <w:r w:rsidR="004509C1">
        <w:rPr>
          <w:rFonts w:ascii="David" w:eastAsia="Calibri" w:hAnsi="David" w:hint="cs"/>
          <w:noProof w:val="0"/>
          <w:rtl/>
        </w:rPr>
        <w:t>ולא התבקש צו גילוי מידע לעניין זה</w:t>
      </w:r>
      <w:r w:rsidR="00C201FF">
        <w:rPr>
          <w:rFonts w:ascii="David" w:eastAsia="Calibri" w:hAnsi="David" w:hint="cs"/>
          <w:noProof w:val="0"/>
          <w:rtl/>
        </w:rPr>
        <w:t>,</w:t>
      </w:r>
      <w:r w:rsidR="004509C1">
        <w:rPr>
          <w:rFonts w:ascii="David" w:eastAsia="Calibri" w:hAnsi="David" w:hint="cs"/>
          <w:noProof w:val="0"/>
          <w:rtl/>
        </w:rPr>
        <w:t xml:space="preserve"> </w:t>
      </w:r>
      <w:r w:rsidRPr="001956B0">
        <w:rPr>
          <w:rFonts w:ascii="David" w:eastAsia="Calibri" w:hAnsi="David"/>
          <w:noProof w:val="0"/>
          <w:rtl/>
        </w:rPr>
        <w:t>דבר שהיה בידה לעשות. מחקירת המומחה עולה כי הוא לא בדק זאת (שורות 26-32 עמ' 23 לפרוט'). משכך לא ניתן לקבל הטענה כי בהגיע התובע לגיל 43 הוא היה זכאי למלוא הגמלה באופן שנצברה לנתבעת זכות יחסית כבר במועד זה במלוא הקצבה המגיעה לתובע, משכך טענתה לעניין זה</w:t>
      </w:r>
      <w:r w:rsidR="00762B85">
        <w:rPr>
          <w:rFonts w:ascii="David" w:eastAsia="Calibri" w:hAnsi="David" w:hint="cs"/>
          <w:noProof w:val="0"/>
          <w:rtl/>
        </w:rPr>
        <w:t xml:space="preserve"> </w:t>
      </w:r>
      <w:r w:rsidRPr="001956B0">
        <w:rPr>
          <w:rFonts w:ascii="David" w:eastAsia="Calibri" w:hAnsi="David"/>
          <w:noProof w:val="0"/>
          <w:rtl/>
        </w:rPr>
        <w:t>(שממילא הועלתה בעלמא</w:t>
      </w:r>
      <w:r w:rsidR="00762B85">
        <w:rPr>
          <w:rFonts w:ascii="David" w:eastAsia="Calibri" w:hAnsi="David" w:hint="cs"/>
          <w:noProof w:val="0"/>
          <w:rtl/>
        </w:rPr>
        <w:t xml:space="preserve"> </w:t>
      </w:r>
      <w:r w:rsidR="00AD3D48" w:rsidRPr="00A67C4E">
        <w:rPr>
          <w:rFonts w:ascii="David" w:eastAsia="Calibri" w:hAnsi="David" w:hint="cs"/>
          <w:noProof w:val="0"/>
          <w:rtl/>
        </w:rPr>
        <w:t>והוכחשה</w:t>
      </w:r>
      <w:r w:rsidR="00762B85">
        <w:rPr>
          <w:rFonts w:ascii="David" w:eastAsia="Calibri" w:hAnsi="David" w:hint="cs"/>
          <w:noProof w:val="0"/>
          <w:rtl/>
        </w:rPr>
        <w:t xml:space="preserve"> על ידי התובע</w:t>
      </w:r>
      <w:r w:rsidRPr="001956B0">
        <w:rPr>
          <w:rFonts w:ascii="David" w:eastAsia="Calibri" w:hAnsi="David"/>
          <w:noProof w:val="0"/>
          <w:rtl/>
        </w:rPr>
        <w:t>), נדחית בזאת.</w:t>
      </w:r>
    </w:p>
    <w:p w:rsidR="006B41B5" w:rsidRDefault="006B41B5" w:rsidP="006B41B5">
      <w:pPr>
        <w:pStyle w:val="ad"/>
        <w:rPr>
          <w:rFonts w:ascii="David" w:eastAsia="Calibri" w:hAnsi="David"/>
          <w:noProof w:val="0"/>
          <w:rtl/>
        </w:rPr>
      </w:pPr>
    </w:p>
    <w:p w:rsidR="00CB1D0A" w:rsidRPr="0076725E" w:rsidRDefault="005514AB" w:rsidP="005A743A">
      <w:pPr>
        <w:numPr>
          <w:ilvl w:val="0"/>
          <w:numId w:val="1"/>
        </w:numPr>
        <w:spacing w:after="160" w:line="360" w:lineRule="auto"/>
        <w:contextualSpacing/>
        <w:jc w:val="both"/>
        <w:rPr>
          <w:rFonts w:ascii="David" w:eastAsia="Calibri" w:hAnsi="David"/>
          <w:b/>
          <w:bCs/>
          <w:noProof w:val="0"/>
        </w:rPr>
      </w:pPr>
      <w:r w:rsidRPr="0076725E">
        <w:rPr>
          <w:rFonts w:ascii="David" w:eastAsia="Calibri" w:hAnsi="David" w:hint="cs"/>
          <w:b/>
          <w:bCs/>
          <w:noProof w:val="0"/>
          <w:rtl/>
        </w:rPr>
        <w:t xml:space="preserve">אשר </w:t>
      </w:r>
      <w:r w:rsidR="001F7ACA" w:rsidRPr="0076725E">
        <w:rPr>
          <w:rFonts w:ascii="David" w:eastAsia="Calibri" w:hAnsi="David" w:hint="cs"/>
          <w:b/>
          <w:bCs/>
          <w:noProof w:val="0"/>
          <w:rtl/>
        </w:rPr>
        <w:t>על כן</w:t>
      </w:r>
      <w:r w:rsidR="001956B0" w:rsidRPr="0076725E">
        <w:rPr>
          <w:rFonts w:ascii="David" w:eastAsia="Calibri" w:hAnsi="David"/>
          <w:b/>
          <w:bCs/>
          <w:noProof w:val="0"/>
          <w:rtl/>
        </w:rPr>
        <w:t xml:space="preserve"> מצאתי לקבל את עמדת התובע במחלוקת זו</w:t>
      </w:r>
      <w:r w:rsidR="00CB1D0A" w:rsidRPr="0076725E">
        <w:rPr>
          <w:rFonts w:ascii="David" w:eastAsia="Calibri" w:hAnsi="David"/>
          <w:b/>
          <w:bCs/>
          <w:noProof w:val="0"/>
          <w:rtl/>
        </w:rPr>
        <w:t>, העולה בקנה אחד עם עמדת המומחה</w:t>
      </w:r>
      <w:r w:rsidR="00CB1D0A" w:rsidRPr="0076725E">
        <w:rPr>
          <w:rFonts w:ascii="David" w:eastAsia="Calibri" w:hAnsi="David" w:hint="cs"/>
          <w:b/>
          <w:bCs/>
          <w:noProof w:val="0"/>
          <w:rtl/>
        </w:rPr>
        <w:t>, ומשהסכימו הצ</w:t>
      </w:r>
      <w:r w:rsidR="00F67543" w:rsidRPr="0076725E">
        <w:rPr>
          <w:rFonts w:ascii="David" w:eastAsia="Calibri" w:hAnsi="David" w:hint="cs"/>
          <w:b/>
          <w:bCs/>
          <w:noProof w:val="0"/>
          <w:rtl/>
        </w:rPr>
        <w:t xml:space="preserve">דדים על היוון הזכויות, יש </w:t>
      </w:r>
      <w:r w:rsidR="00CB1D0A" w:rsidRPr="0076725E">
        <w:rPr>
          <w:rFonts w:ascii="David" w:eastAsia="Calibri" w:hAnsi="David" w:hint="cs"/>
          <w:b/>
          <w:bCs/>
          <w:noProof w:val="0"/>
          <w:rtl/>
        </w:rPr>
        <w:t xml:space="preserve">לחשב </w:t>
      </w:r>
      <w:r w:rsidR="00CB1D0A" w:rsidRPr="0076725E">
        <w:rPr>
          <w:rFonts w:ascii="David" w:eastAsia="Calibri" w:hAnsi="David"/>
          <w:b/>
          <w:bCs/>
          <w:noProof w:val="0"/>
          <w:rtl/>
        </w:rPr>
        <w:t xml:space="preserve">את </w:t>
      </w:r>
      <w:r w:rsidR="00F67543" w:rsidRPr="0076725E">
        <w:rPr>
          <w:rFonts w:ascii="David" w:eastAsia="Calibri" w:hAnsi="David" w:hint="cs"/>
          <w:b/>
          <w:bCs/>
          <w:noProof w:val="0"/>
          <w:rtl/>
        </w:rPr>
        <w:t>ה</w:t>
      </w:r>
      <w:r w:rsidR="00CB1D0A" w:rsidRPr="0076725E">
        <w:rPr>
          <w:rFonts w:ascii="David" w:eastAsia="Calibri" w:hAnsi="David"/>
          <w:b/>
          <w:bCs/>
          <w:noProof w:val="0"/>
          <w:rtl/>
        </w:rPr>
        <w:t xml:space="preserve">היוון לפי המועד בו כל </w:t>
      </w:r>
      <w:r w:rsidR="00CB1D0A" w:rsidRPr="00A67C4E">
        <w:rPr>
          <w:rFonts w:ascii="David" w:eastAsia="Calibri" w:hAnsi="David"/>
          <w:b/>
          <w:bCs/>
          <w:noProof w:val="0"/>
          <w:rtl/>
        </w:rPr>
        <w:t xml:space="preserve">אחד מהצדדים </w:t>
      </w:r>
      <w:r w:rsidR="00CB1D0A" w:rsidRPr="005A743A">
        <w:rPr>
          <w:rFonts w:ascii="David" w:eastAsia="Calibri" w:hAnsi="David"/>
          <w:b/>
          <w:bCs/>
          <w:noProof w:val="0"/>
          <w:u w:val="single"/>
          <w:rtl/>
        </w:rPr>
        <w:t>זכאי</w:t>
      </w:r>
      <w:r w:rsidR="00CB1D0A" w:rsidRPr="00A67C4E">
        <w:rPr>
          <w:rFonts w:ascii="David" w:eastAsia="Calibri" w:hAnsi="David"/>
          <w:b/>
          <w:bCs/>
          <w:noProof w:val="0"/>
          <w:rtl/>
        </w:rPr>
        <w:t xml:space="preserve"> </w:t>
      </w:r>
      <w:r w:rsidR="005A743A">
        <w:rPr>
          <w:rFonts w:ascii="David" w:eastAsia="Calibri" w:hAnsi="David" w:hint="cs"/>
          <w:b/>
          <w:bCs/>
          <w:noProof w:val="0"/>
          <w:rtl/>
        </w:rPr>
        <w:t>לצאת לגמלאות</w:t>
      </w:r>
      <w:r w:rsidR="00CB1D0A" w:rsidRPr="00A67C4E">
        <w:rPr>
          <w:rFonts w:ascii="David" w:eastAsia="Calibri" w:hAnsi="David"/>
          <w:b/>
          <w:bCs/>
          <w:noProof w:val="0"/>
          <w:rtl/>
        </w:rPr>
        <w:t xml:space="preserve">– אז התגבשו למעשה זכויותיו של </w:t>
      </w:r>
      <w:r w:rsidR="00A20B2B" w:rsidRPr="00A67C4E">
        <w:rPr>
          <w:rFonts w:ascii="David" w:eastAsia="Calibri" w:hAnsi="David" w:hint="cs"/>
          <w:b/>
          <w:bCs/>
          <w:noProof w:val="0"/>
          <w:rtl/>
        </w:rPr>
        <w:t>כל צד</w:t>
      </w:r>
      <w:r w:rsidR="00CB1D0A" w:rsidRPr="0076725E">
        <w:rPr>
          <w:rFonts w:ascii="David" w:eastAsia="Calibri" w:hAnsi="David"/>
          <w:b/>
          <w:bCs/>
          <w:noProof w:val="0"/>
          <w:rtl/>
        </w:rPr>
        <w:t xml:space="preserve"> באותן </w:t>
      </w:r>
      <w:r w:rsidR="00CB1D0A" w:rsidRPr="0076725E">
        <w:rPr>
          <w:rFonts w:ascii="David" w:eastAsia="Calibri" w:hAnsi="David"/>
          <w:b/>
          <w:bCs/>
          <w:noProof w:val="0"/>
          <w:rtl/>
        </w:rPr>
        <w:lastRenderedPageBreak/>
        <w:t>זכויות על פי חלקו היחסי</w:t>
      </w:r>
      <w:r w:rsidR="00CB1D0A" w:rsidRPr="0076725E">
        <w:rPr>
          <w:rFonts w:ascii="David" w:eastAsia="Calibri" w:hAnsi="David" w:hint="cs"/>
          <w:b/>
          <w:bCs/>
          <w:noProof w:val="0"/>
          <w:rtl/>
        </w:rPr>
        <w:t>,</w:t>
      </w:r>
      <w:r w:rsidR="00CB1D0A" w:rsidRPr="0076725E">
        <w:rPr>
          <w:rFonts w:ascii="David" w:eastAsia="Calibri" w:hAnsi="David"/>
          <w:b/>
          <w:bCs/>
          <w:noProof w:val="0"/>
          <w:rtl/>
        </w:rPr>
        <w:t xml:space="preserve"> </w:t>
      </w:r>
      <w:r w:rsidR="00CB1D0A" w:rsidRPr="0076725E">
        <w:rPr>
          <w:b/>
          <w:bCs/>
          <w:rtl/>
        </w:rPr>
        <w:t xml:space="preserve">ולא ניתן לפגוע </w:t>
      </w:r>
      <w:r w:rsidR="005A743A">
        <w:rPr>
          <w:rFonts w:hint="cs"/>
          <w:b/>
          <w:bCs/>
          <w:rtl/>
        </w:rPr>
        <w:t>ולגרוע מזכויות אלו</w:t>
      </w:r>
      <w:r w:rsidR="001F7ACA" w:rsidRPr="0076725E">
        <w:rPr>
          <w:rFonts w:hint="cs"/>
          <w:b/>
          <w:bCs/>
          <w:rtl/>
        </w:rPr>
        <w:t xml:space="preserve">; </w:t>
      </w:r>
      <w:r w:rsidR="000813E3">
        <w:rPr>
          <w:rFonts w:hint="cs"/>
          <w:b/>
          <w:bCs/>
          <w:rtl/>
        </w:rPr>
        <w:t xml:space="preserve"> אשוב ואדגיש, </w:t>
      </w:r>
      <w:r w:rsidR="001F7ACA" w:rsidRPr="0076725E">
        <w:rPr>
          <w:rFonts w:ascii="David" w:eastAsia="Calibri" w:hAnsi="David" w:hint="cs"/>
          <w:b/>
          <w:bCs/>
          <w:noProof w:val="0"/>
          <w:rtl/>
        </w:rPr>
        <w:t xml:space="preserve">כפי שהובהר קביעה זו אינה מחייבת את הנתבעת לפרוש בפועל במועד הזכאות לפרישה, והיא רשאית לבחור האם להמשיך לעבוד או לפרוש, אולם החישוב הרעיוני </w:t>
      </w:r>
      <w:r w:rsidR="00C05B52" w:rsidRPr="0076725E">
        <w:rPr>
          <w:rFonts w:ascii="David" w:eastAsia="Calibri" w:hAnsi="David" w:hint="cs"/>
          <w:b/>
          <w:bCs/>
          <w:noProof w:val="0"/>
          <w:rtl/>
        </w:rPr>
        <w:t xml:space="preserve">לצורך </w:t>
      </w:r>
      <w:r w:rsidR="001F7ACA" w:rsidRPr="0076725E">
        <w:rPr>
          <w:rFonts w:ascii="David" w:eastAsia="Calibri" w:hAnsi="David" w:hint="cs"/>
          <w:b/>
          <w:bCs/>
          <w:noProof w:val="0"/>
          <w:rtl/>
        </w:rPr>
        <w:t>ההיוון יערך החל ממועד זה.</w:t>
      </w:r>
    </w:p>
    <w:p w:rsidR="001956B0" w:rsidRPr="001956B0" w:rsidRDefault="001956B0" w:rsidP="001956B0">
      <w:pPr>
        <w:spacing w:after="160" w:line="256" w:lineRule="auto"/>
        <w:ind w:left="720"/>
        <w:contextualSpacing/>
        <w:rPr>
          <w:rFonts w:ascii="David" w:eastAsia="Calibri" w:hAnsi="David"/>
          <w:noProof w:val="0"/>
        </w:rPr>
      </w:pPr>
    </w:p>
    <w:p w:rsidR="00B20453" w:rsidRDefault="001F7ACA" w:rsidP="00B20453">
      <w:pPr>
        <w:numPr>
          <w:ilvl w:val="0"/>
          <w:numId w:val="1"/>
        </w:numPr>
        <w:spacing w:after="160" w:line="360" w:lineRule="auto"/>
        <w:contextualSpacing/>
        <w:jc w:val="both"/>
        <w:rPr>
          <w:rFonts w:ascii="David" w:eastAsia="Calibri" w:hAnsi="David"/>
          <w:noProof w:val="0"/>
        </w:rPr>
      </w:pPr>
      <w:r w:rsidRPr="00B20453">
        <w:rPr>
          <w:rFonts w:ascii="David" w:eastAsia="Calibri" w:hAnsi="David" w:hint="cs"/>
          <w:b/>
          <w:bCs/>
          <w:noProof w:val="0"/>
          <w:rtl/>
        </w:rPr>
        <w:t xml:space="preserve">לעניין </w:t>
      </w:r>
      <w:r w:rsidR="00B20453" w:rsidRPr="00B20453">
        <w:rPr>
          <w:rFonts w:ascii="David" w:eastAsia="Calibri" w:hAnsi="David" w:hint="cs"/>
          <w:b/>
          <w:bCs/>
          <w:noProof w:val="0"/>
          <w:rtl/>
        </w:rPr>
        <w:t xml:space="preserve">המחלוקת לענין </w:t>
      </w:r>
      <w:r w:rsidRPr="00B20453">
        <w:rPr>
          <w:rFonts w:ascii="David" w:eastAsia="Calibri" w:hAnsi="David" w:hint="cs"/>
          <w:b/>
          <w:bCs/>
          <w:noProof w:val="0"/>
          <w:rtl/>
        </w:rPr>
        <w:t>גיל הזכאות של הנתבעת</w:t>
      </w:r>
      <w:r w:rsidR="00B20453" w:rsidRPr="00B20453">
        <w:rPr>
          <w:rFonts w:ascii="David" w:eastAsia="Calibri" w:hAnsi="David" w:hint="cs"/>
          <w:noProof w:val="0"/>
          <w:rtl/>
        </w:rPr>
        <w:t xml:space="preserve"> (</w:t>
      </w:r>
      <w:r w:rsidR="00B20453" w:rsidRPr="00B20453">
        <w:rPr>
          <w:rFonts w:ascii="David" w:eastAsia="Calibri" w:hAnsi="David"/>
          <w:noProof w:val="0"/>
          <w:rtl/>
        </w:rPr>
        <w:t>62.8</w:t>
      </w:r>
      <w:r w:rsidR="00B20453" w:rsidRPr="00B20453">
        <w:rPr>
          <w:rFonts w:ascii="David" w:eastAsia="Calibri" w:hAnsi="David" w:hint="cs"/>
          <w:noProof w:val="0"/>
          <w:rtl/>
        </w:rPr>
        <w:t xml:space="preserve"> או 63.25)</w:t>
      </w:r>
      <w:r w:rsidRPr="00B20453">
        <w:rPr>
          <w:rFonts w:ascii="David" w:eastAsia="Calibri" w:hAnsi="David" w:hint="cs"/>
          <w:noProof w:val="0"/>
          <w:rtl/>
        </w:rPr>
        <w:t xml:space="preserve">, </w:t>
      </w:r>
      <w:r w:rsidR="00B20453" w:rsidRPr="001956B0">
        <w:rPr>
          <w:rFonts w:ascii="David" w:eastAsia="Calibri" w:hAnsi="David"/>
          <w:noProof w:val="0"/>
          <w:rtl/>
        </w:rPr>
        <w:t xml:space="preserve">התובע </w:t>
      </w:r>
      <w:r w:rsidR="00B20453">
        <w:rPr>
          <w:rFonts w:ascii="David" w:eastAsia="Calibri" w:hAnsi="David" w:hint="cs"/>
          <w:noProof w:val="0"/>
          <w:rtl/>
        </w:rPr>
        <w:t>עתר ל</w:t>
      </w:r>
      <w:r w:rsidR="00B20453" w:rsidRPr="001956B0">
        <w:rPr>
          <w:rFonts w:ascii="David" w:eastAsia="Calibri" w:hAnsi="David"/>
          <w:noProof w:val="0"/>
          <w:rtl/>
        </w:rPr>
        <w:t xml:space="preserve">תיקון טעות סופר </w:t>
      </w:r>
      <w:r w:rsidR="00B20453">
        <w:rPr>
          <w:rFonts w:ascii="David" w:eastAsia="Calibri" w:hAnsi="David" w:hint="cs"/>
          <w:noProof w:val="0"/>
          <w:rtl/>
        </w:rPr>
        <w:t xml:space="preserve">שנפלה בחוו"ד </w:t>
      </w:r>
      <w:r w:rsidR="00B20453" w:rsidRPr="001956B0">
        <w:rPr>
          <w:rFonts w:ascii="David" w:eastAsia="Calibri" w:hAnsi="David"/>
          <w:noProof w:val="0"/>
          <w:rtl/>
        </w:rPr>
        <w:t>המומחה</w:t>
      </w:r>
      <w:r w:rsidR="00B20453">
        <w:rPr>
          <w:rFonts w:ascii="David" w:eastAsia="Calibri" w:hAnsi="David" w:hint="cs"/>
          <w:noProof w:val="0"/>
          <w:rtl/>
        </w:rPr>
        <w:t>.</w:t>
      </w:r>
    </w:p>
    <w:p w:rsidR="00B20453" w:rsidRPr="00B20453" w:rsidRDefault="00B20453" w:rsidP="00B20453">
      <w:pPr>
        <w:pStyle w:val="ad"/>
        <w:rPr>
          <w:rFonts w:ascii="David" w:eastAsia="Calibri" w:hAnsi="David"/>
          <w:noProof w:val="0"/>
          <w:rtl/>
        </w:rPr>
      </w:pPr>
    </w:p>
    <w:p w:rsidR="00B20453" w:rsidRPr="00B20453" w:rsidRDefault="00B20453" w:rsidP="00092F84">
      <w:pPr>
        <w:numPr>
          <w:ilvl w:val="0"/>
          <w:numId w:val="1"/>
        </w:numPr>
        <w:spacing w:after="160" w:line="360" w:lineRule="auto"/>
        <w:contextualSpacing/>
        <w:jc w:val="both"/>
        <w:rPr>
          <w:rFonts w:ascii="David" w:eastAsia="Calibri" w:hAnsi="David"/>
          <w:noProof w:val="0"/>
          <w:rtl/>
        </w:rPr>
      </w:pPr>
      <w:r>
        <w:rPr>
          <w:rFonts w:ascii="David" w:eastAsia="Calibri" w:hAnsi="David" w:hint="cs"/>
          <w:noProof w:val="0"/>
          <w:rtl/>
        </w:rPr>
        <w:t xml:space="preserve">ואכן, </w:t>
      </w:r>
      <w:r w:rsidRPr="00B20453">
        <w:rPr>
          <w:rFonts w:ascii="David" w:eastAsia="Calibri" w:hAnsi="David"/>
          <w:noProof w:val="0"/>
          <w:rtl/>
        </w:rPr>
        <w:t>ביחס לגיל הפרישה כהגדרתו בסעיף 3 לחוק, נקבעו הוראות מעבר, אשר הרלוונטית שבהן לעניינינו, לנוכח שנת לידתה של הנתבעת (1961), היא זו הקבועה בסעיף 6(2) לחוק, לפיו "לגבי אישה שנולדה עד חודש דצמבר 1969, יהיה גיל הפרישה – הגיל הקבוע לגביה, בהתאם לחודש לידתה, בחלק ב' בתוספת"  - והגיל המופיע בחלק ב' לתוספת בגין תאריך לידה בתקופה – "ינואר 1961 עד דצמבר 1961", הוא</w:t>
      </w:r>
      <w:r w:rsidRPr="00B20453">
        <w:rPr>
          <w:rFonts w:ascii="David" w:eastAsia="Calibri" w:hAnsi="David"/>
          <w:b/>
          <w:bCs/>
          <w:noProof w:val="0"/>
          <w:rtl/>
        </w:rPr>
        <w:t>- 62 ו-8 חודשים</w:t>
      </w:r>
      <w:r w:rsidRPr="00B20453">
        <w:rPr>
          <w:rFonts w:ascii="David" w:eastAsia="Calibri" w:hAnsi="David"/>
          <w:noProof w:val="0"/>
          <w:rtl/>
        </w:rPr>
        <w:t xml:space="preserve"> – כנטען על ידי התובע.</w:t>
      </w:r>
    </w:p>
    <w:p w:rsidR="00B20453" w:rsidRDefault="00B20453" w:rsidP="00B20453">
      <w:pPr>
        <w:pStyle w:val="ad"/>
        <w:rPr>
          <w:rFonts w:ascii="David" w:eastAsia="Calibri" w:hAnsi="David"/>
          <w:noProof w:val="0"/>
          <w:rtl/>
        </w:rPr>
      </w:pPr>
    </w:p>
    <w:p w:rsidR="001956B0" w:rsidRDefault="001956B0" w:rsidP="00B20453">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 xml:space="preserve">לעניין זה, המומחה העיד </w:t>
      </w:r>
      <w:r w:rsidR="00B20453">
        <w:rPr>
          <w:rFonts w:ascii="David" w:eastAsia="Calibri" w:hAnsi="David" w:hint="cs"/>
          <w:noProof w:val="0"/>
          <w:rtl/>
        </w:rPr>
        <w:t xml:space="preserve">כי </w:t>
      </w:r>
      <w:r w:rsidRPr="001956B0">
        <w:rPr>
          <w:rFonts w:ascii="David" w:eastAsia="Calibri" w:hAnsi="David"/>
          <w:noProof w:val="0"/>
          <w:rtl/>
        </w:rPr>
        <w:t>חישוב גיל ה</w:t>
      </w:r>
      <w:r w:rsidR="00B20453">
        <w:rPr>
          <w:rFonts w:ascii="David" w:eastAsia="Calibri" w:hAnsi="David" w:hint="cs"/>
          <w:noProof w:val="0"/>
          <w:rtl/>
        </w:rPr>
        <w:t>זכאות ל</w:t>
      </w:r>
      <w:r w:rsidRPr="001956B0">
        <w:rPr>
          <w:rFonts w:ascii="David" w:eastAsia="Calibri" w:hAnsi="David"/>
          <w:noProof w:val="0"/>
          <w:rtl/>
        </w:rPr>
        <w:t xml:space="preserve">פרישה לאישה </w:t>
      </w:r>
      <w:r w:rsidR="00B20453">
        <w:rPr>
          <w:rFonts w:ascii="David" w:eastAsia="Calibri" w:hAnsi="David" w:hint="cs"/>
          <w:noProof w:val="0"/>
          <w:rtl/>
        </w:rPr>
        <w:t xml:space="preserve">על פי גיל </w:t>
      </w:r>
      <w:r w:rsidRPr="001956B0">
        <w:rPr>
          <w:rFonts w:ascii="David" w:eastAsia="Calibri" w:hAnsi="David"/>
          <w:noProof w:val="0"/>
          <w:rtl/>
        </w:rPr>
        <w:t xml:space="preserve">63.25 הוא "על פי הוראות המעבר לפי חוק פרישת נשים שחוקק לפני כשנתיים". </w:t>
      </w:r>
    </w:p>
    <w:p w:rsidR="005E014C" w:rsidRDefault="005E014C" w:rsidP="005E014C">
      <w:pPr>
        <w:pStyle w:val="ad"/>
        <w:rPr>
          <w:rFonts w:ascii="David" w:eastAsia="Calibri" w:hAnsi="David"/>
          <w:noProof w:val="0"/>
          <w:rtl/>
        </w:rPr>
      </w:pPr>
    </w:p>
    <w:p w:rsidR="001956B0" w:rsidRPr="001956B0" w:rsidRDefault="001956B0" w:rsidP="005A743A">
      <w:pPr>
        <w:numPr>
          <w:ilvl w:val="0"/>
          <w:numId w:val="1"/>
        </w:numPr>
        <w:spacing w:after="160" w:line="360" w:lineRule="auto"/>
        <w:contextualSpacing/>
        <w:jc w:val="both"/>
        <w:rPr>
          <w:rFonts w:ascii="David" w:eastAsia="Calibri" w:hAnsi="David"/>
          <w:b/>
          <w:bCs/>
          <w:noProof w:val="0"/>
          <w:rtl/>
        </w:rPr>
      </w:pPr>
      <w:r w:rsidRPr="001956B0">
        <w:rPr>
          <w:rFonts w:ascii="David" w:eastAsia="Calibri" w:hAnsi="David"/>
          <w:noProof w:val="0"/>
          <w:rtl/>
        </w:rPr>
        <w:t xml:space="preserve">בנסיבות בהן הוראות המעבר והתוספת בשנייה לחוק מלמדים כאמור לעיל, כי </w:t>
      </w:r>
      <w:r w:rsidR="001F7ACA">
        <w:rPr>
          <w:rFonts w:ascii="David" w:eastAsia="Calibri" w:hAnsi="David"/>
          <w:noProof w:val="0"/>
          <w:rtl/>
        </w:rPr>
        <w:t>על פי תאריך הלידה של</w:t>
      </w:r>
      <w:r w:rsidR="001F7ACA">
        <w:rPr>
          <w:rFonts w:ascii="David" w:eastAsia="Calibri" w:hAnsi="David" w:hint="cs"/>
          <w:noProof w:val="0"/>
          <w:rtl/>
        </w:rPr>
        <w:t xml:space="preserve"> הנתבעת</w:t>
      </w:r>
      <w:r w:rsidR="001F7ACA" w:rsidRPr="001956B0">
        <w:rPr>
          <w:rFonts w:ascii="David" w:eastAsia="Calibri" w:hAnsi="David"/>
          <w:noProof w:val="0"/>
          <w:rtl/>
        </w:rPr>
        <w:t xml:space="preserve"> </w:t>
      </w:r>
      <w:r w:rsidRPr="001956B0">
        <w:rPr>
          <w:rFonts w:ascii="David" w:eastAsia="Calibri" w:hAnsi="David"/>
          <w:noProof w:val="0"/>
          <w:rtl/>
        </w:rPr>
        <w:t xml:space="preserve">גיל הפרישה במקרה דנן הוא 62.8, </w:t>
      </w:r>
      <w:r w:rsidRPr="001956B0">
        <w:rPr>
          <w:rFonts w:ascii="David" w:eastAsia="Calibri" w:hAnsi="David"/>
          <w:b/>
          <w:bCs/>
          <w:noProof w:val="0"/>
          <w:rtl/>
        </w:rPr>
        <w:t>מצאתי להיעתר לבקשת התובע לעניין זה ואני מורה למומחה לעדכן חוות דעתו בשים לב לגיל הפרישה האמור.</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1956B0">
      <w:pPr>
        <w:spacing w:line="360" w:lineRule="auto"/>
        <w:jc w:val="both"/>
        <w:rPr>
          <w:rFonts w:ascii="David" w:eastAsia="Calibri" w:hAnsi="David"/>
          <w:noProof w:val="0"/>
        </w:rPr>
      </w:pPr>
    </w:p>
    <w:p w:rsidR="000813E3" w:rsidRDefault="000813E3" w:rsidP="001956B0">
      <w:pPr>
        <w:spacing w:after="160" w:line="256" w:lineRule="auto"/>
        <w:rPr>
          <w:rFonts w:ascii="David" w:eastAsia="Calibri" w:hAnsi="David"/>
          <w:b/>
          <w:bCs/>
          <w:noProof w:val="0"/>
          <w:sz w:val="26"/>
          <w:szCs w:val="26"/>
          <w:u w:val="single"/>
          <w:rtl/>
        </w:rPr>
      </w:pPr>
    </w:p>
    <w:p w:rsidR="000813E3" w:rsidRDefault="000813E3" w:rsidP="001956B0">
      <w:pPr>
        <w:spacing w:after="160" w:line="256" w:lineRule="auto"/>
        <w:rPr>
          <w:rFonts w:ascii="David" w:eastAsia="Calibri" w:hAnsi="David"/>
          <w:b/>
          <w:bCs/>
          <w:noProof w:val="0"/>
          <w:sz w:val="26"/>
          <w:szCs w:val="26"/>
          <w:u w:val="single"/>
          <w:rtl/>
        </w:rPr>
      </w:pPr>
    </w:p>
    <w:p w:rsidR="001956B0" w:rsidRPr="0076725E" w:rsidRDefault="001956B0" w:rsidP="001956B0">
      <w:pPr>
        <w:spacing w:after="160" w:line="256" w:lineRule="auto"/>
        <w:rPr>
          <w:rFonts w:ascii="David" w:eastAsia="Calibri" w:hAnsi="David"/>
          <w:b/>
          <w:bCs/>
          <w:noProof w:val="0"/>
          <w:sz w:val="26"/>
          <w:szCs w:val="26"/>
          <w:u w:val="single"/>
          <w:rtl/>
        </w:rPr>
      </w:pPr>
      <w:r w:rsidRPr="005B4C0B">
        <w:rPr>
          <w:rFonts w:ascii="David" w:eastAsia="Calibri" w:hAnsi="David"/>
          <w:b/>
          <w:bCs/>
          <w:noProof w:val="0"/>
          <w:sz w:val="26"/>
          <w:szCs w:val="26"/>
          <w:u w:val="single"/>
          <w:rtl/>
        </w:rPr>
        <w:t>המשכורת הקובעת לחישוב הפנסיה</w:t>
      </w:r>
    </w:p>
    <w:p w:rsidR="001956B0" w:rsidRPr="001956B0" w:rsidRDefault="001956B0" w:rsidP="001956B0">
      <w:pPr>
        <w:spacing w:after="160" w:line="256" w:lineRule="auto"/>
        <w:rPr>
          <w:rFonts w:ascii="David" w:eastAsia="Calibri" w:hAnsi="David"/>
          <w:noProof w:val="0"/>
          <w:rtl/>
        </w:rPr>
      </w:pPr>
    </w:p>
    <w:p w:rsidR="00716ED4" w:rsidRDefault="00716ED4" w:rsidP="00716ED4">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לאחר שהכרעתי בדבר מועד תחילת הזכות, יש לבחון מה גובהה של הזכות לאיזון.</w:t>
      </w:r>
      <w:r w:rsidR="005B4C0B">
        <w:rPr>
          <w:rFonts w:ascii="David" w:eastAsia="Calibri" w:hAnsi="David" w:hint="cs"/>
          <w:noProof w:val="0"/>
          <w:rtl/>
        </w:rPr>
        <w:t xml:space="preserve"> הצדדים חלוקים בדבר המשכורת הקובעת לחישוב הזכות.</w:t>
      </w:r>
    </w:p>
    <w:p w:rsidR="000813E3" w:rsidRDefault="000813E3" w:rsidP="000813E3">
      <w:pPr>
        <w:spacing w:after="160" w:line="360" w:lineRule="auto"/>
        <w:ind w:left="720"/>
        <w:contextualSpacing/>
        <w:jc w:val="both"/>
        <w:rPr>
          <w:rFonts w:ascii="David" w:eastAsia="Calibri" w:hAnsi="David"/>
          <w:noProof w:val="0"/>
        </w:rPr>
      </w:pPr>
    </w:p>
    <w:p w:rsidR="001956B0" w:rsidRPr="001956B0" w:rsidRDefault="001956B0" w:rsidP="00A25441">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 xml:space="preserve">לטענת הנתבעת, על המומחה היה לחשב את גובה זכויות הפנסיה התקציבית של הצדדים על פי המשכורת הקובעת כפי שתהיה </w:t>
      </w:r>
      <w:r w:rsidR="006C648B" w:rsidRPr="005B4C0B">
        <w:rPr>
          <w:rFonts w:ascii="David" w:eastAsia="Calibri" w:hAnsi="David" w:hint="cs"/>
          <w:b/>
          <w:bCs/>
          <w:noProof w:val="0"/>
          <w:rtl/>
        </w:rPr>
        <w:t>בעת</w:t>
      </w:r>
      <w:r w:rsidRPr="005B4C0B">
        <w:rPr>
          <w:rFonts w:ascii="David" w:eastAsia="Calibri" w:hAnsi="David"/>
          <w:b/>
          <w:bCs/>
          <w:noProof w:val="0"/>
          <w:rtl/>
        </w:rPr>
        <w:t xml:space="preserve"> הפרישה</w:t>
      </w:r>
      <w:r w:rsidRPr="001956B0">
        <w:rPr>
          <w:rFonts w:ascii="David" w:eastAsia="Calibri" w:hAnsi="David"/>
          <w:noProof w:val="0"/>
          <w:rtl/>
        </w:rPr>
        <w:t xml:space="preserve">, ולמצער, </w:t>
      </w:r>
      <w:r w:rsidRPr="00A25441">
        <w:rPr>
          <w:rFonts w:ascii="David" w:eastAsia="Calibri" w:hAnsi="David"/>
          <w:b/>
          <w:bCs/>
          <w:noProof w:val="0"/>
          <w:rtl/>
        </w:rPr>
        <w:t>המשכורת הידועה כיום</w:t>
      </w:r>
      <w:r w:rsidRPr="001956B0">
        <w:rPr>
          <w:rFonts w:ascii="David" w:eastAsia="Calibri" w:hAnsi="David"/>
          <w:noProof w:val="0"/>
          <w:rtl/>
        </w:rPr>
        <w:t xml:space="preserve"> (</w:t>
      </w:r>
      <w:r w:rsidRPr="00A25441">
        <w:rPr>
          <w:rFonts w:ascii="David" w:eastAsia="Calibri" w:hAnsi="David"/>
          <w:b/>
          <w:bCs/>
          <w:noProof w:val="0"/>
          <w:rtl/>
        </w:rPr>
        <w:t>בעת</w:t>
      </w:r>
      <w:r w:rsidRPr="001956B0">
        <w:rPr>
          <w:rFonts w:ascii="David" w:eastAsia="Calibri" w:hAnsi="David"/>
          <w:noProof w:val="0"/>
          <w:rtl/>
        </w:rPr>
        <w:t xml:space="preserve"> </w:t>
      </w:r>
      <w:r w:rsidRPr="005B4C0B">
        <w:rPr>
          <w:rFonts w:ascii="David" w:eastAsia="Calibri" w:hAnsi="David"/>
          <w:b/>
          <w:bCs/>
          <w:noProof w:val="0"/>
          <w:rtl/>
        </w:rPr>
        <w:t>עריכת חוות הדעת</w:t>
      </w:r>
      <w:r w:rsidRPr="001956B0">
        <w:rPr>
          <w:rFonts w:ascii="David" w:eastAsia="Calibri" w:hAnsi="David"/>
          <w:noProof w:val="0"/>
          <w:rtl/>
        </w:rPr>
        <w:t xml:space="preserve">), ולא לחשב את המשכורת הקובעת נכון למועד הפירוד כפי שעשה בחוות דעתו. הנתבעת הפנתה בסיכומיה לפסיקה </w:t>
      </w:r>
      <w:r w:rsidR="00A25441">
        <w:rPr>
          <w:rFonts w:ascii="David" w:eastAsia="Calibri" w:hAnsi="David" w:hint="cs"/>
          <w:noProof w:val="0"/>
          <w:rtl/>
        </w:rPr>
        <w:t xml:space="preserve"> הקובעת לשיטתה כי יש לערוך החישובים על פי השכר הקובע </w:t>
      </w:r>
      <w:r w:rsidR="00A25441">
        <w:rPr>
          <w:rFonts w:ascii="David" w:eastAsia="Calibri" w:hAnsi="David" w:hint="cs"/>
          <w:b/>
          <w:bCs/>
          <w:noProof w:val="0"/>
          <w:rtl/>
        </w:rPr>
        <w:t>במועד הפרישה</w:t>
      </w:r>
      <w:r w:rsidR="00A25441">
        <w:rPr>
          <w:rFonts w:ascii="David" w:eastAsia="Calibri" w:hAnsi="David" w:hint="cs"/>
          <w:noProof w:val="0"/>
          <w:rtl/>
        </w:rPr>
        <w:t xml:space="preserve"> ולא במועד הפירוד (עמ"ש 3069-05-10; ע"ר 52480-04-13; ותמ"ש 21868-12-10 ; סעיף 2 לסיכומיה). גם בסיכומי התשובה מטעמה הפנתה לפסיקה שקובעת לטענתה כי חובה על האקטואר להתחשב בנתוני השכר הקובע במועד הפרישה ולא במועד הפירוד (בע"מ 4860/16 פסקה ס"ד לפסק הדין); ולפיכך עתרה הורות למומחה לחשב הנתונים על פי המשכורת </w:t>
      </w:r>
      <w:r w:rsidR="00A25441" w:rsidRPr="00A25441">
        <w:rPr>
          <w:rFonts w:ascii="David" w:eastAsia="Calibri" w:hAnsi="David" w:hint="cs"/>
          <w:b/>
          <w:bCs/>
          <w:noProof w:val="0"/>
          <w:rtl/>
        </w:rPr>
        <w:t>נכון להיום.</w:t>
      </w:r>
      <w:r w:rsidRPr="001956B0">
        <w:rPr>
          <w:rFonts w:ascii="David" w:eastAsia="Calibri" w:hAnsi="David"/>
          <w:noProof w:val="0"/>
          <w:rtl/>
        </w:rPr>
        <w:t xml:space="preserve"> </w:t>
      </w:r>
    </w:p>
    <w:p w:rsidR="001956B0" w:rsidRPr="001956B0" w:rsidRDefault="001956B0" w:rsidP="001956B0">
      <w:pPr>
        <w:spacing w:line="360" w:lineRule="auto"/>
        <w:ind w:left="720"/>
        <w:contextualSpacing/>
        <w:jc w:val="both"/>
        <w:rPr>
          <w:rFonts w:ascii="David" w:eastAsia="Calibri" w:hAnsi="David"/>
          <w:noProof w:val="0"/>
        </w:rPr>
      </w:pPr>
    </w:p>
    <w:p w:rsidR="001956B0" w:rsidRPr="00B80A6E" w:rsidRDefault="001956B0" w:rsidP="00B80A6E">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lastRenderedPageBreak/>
        <w:t xml:space="preserve">התובע טען מנגד כי למומחה לא הייתה כל יכולת להתבסס על המשכורת בעת הפרישה על שום שמדובר בנתון עתידי שאינו קיים. לכן בחישוב ההיוון נכון להווה נהג המומחה כשורה בהשתמשו בנתון קיים ולא בנתון בלתי ידוע בעליל. לדבריו, בניגוד לטענת הנתבעת, הפסיקה לא קבעה כי הנתון הקובע חייב להיות המשכורת בעת הפרישה וזאת אף במקרים בהם המשכורת בעת הפרישה ידועה. לשיטתו, ההלכה היא - כי </w:t>
      </w:r>
      <w:r w:rsidR="00B70C90">
        <w:rPr>
          <w:rFonts w:ascii="David" w:eastAsia="Calibri" w:hAnsi="David" w:hint="cs"/>
          <w:noProof w:val="0"/>
          <w:rtl/>
        </w:rPr>
        <w:t xml:space="preserve">ההכרעה לעיין זה </w:t>
      </w:r>
      <w:r w:rsidRPr="001956B0">
        <w:rPr>
          <w:rFonts w:ascii="David" w:eastAsia="Calibri" w:hAnsi="David"/>
          <w:noProof w:val="0"/>
          <w:rtl/>
        </w:rPr>
        <w:t>תלוית נסיבות</w:t>
      </w:r>
      <w:r w:rsidR="005B4C0B">
        <w:rPr>
          <w:rFonts w:ascii="David" w:eastAsia="Calibri" w:hAnsi="David" w:hint="cs"/>
          <w:noProof w:val="0"/>
          <w:rtl/>
        </w:rPr>
        <w:t xml:space="preserve"> (</w:t>
      </w:r>
      <w:r w:rsidR="005B4C0B" w:rsidRPr="001956B0">
        <w:rPr>
          <w:rFonts w:ascii="David" w:eastAsia="Calibri" w:hAnsi="David"/>
          <w:noProof w:val="0"/>
          <w:rtl/>
        </w:rPr>
        <w:t>הפנה לעמ"ש 20486-07-21</w:t>
      </w:r>
      <w:r w:rsidR="005B4C0B">
        <w:rPr>
          <w:rFonts w:ascii="David" w:eastAsia="Calibri" w:hAnsi="David" w:hint="cs"/>
          <w:noProof w:val="0"/>
          <w:rtl/>
        </w:rPr>
        <w:t>)</w:t>
      </w:r>
      <w:r w:rsidRPr="001956B0">
        <w:rPr>
          <w:rFonts w:ascii="David" w:eastAsia="Calibri" w:hAnsi="David"/>
          <w:noProof w:val="0"/>
          <w:rtl/>
        </w:rPr>
        <w:t>, ובמקרה דנן הנסיבות כלל לא נבחנו והנתבעת אף לא טענה להן ולא ביקשה</w:t>
      </w:r>
      <w:r w:rsidR="005B4C0B">
        <w:rPr>
          <w:rFonts w:ascii="David" w:eastAsia="Calibri" w:hAnsi="David"/>
          <w:noProof w:val="0"/>
          <w:rtl/>
        </w:rPr>
        <w:t xml:space="preserve"> לנהל הליך ראיות והוכחות לגביהן</w:t>
      </w:r>
      <w:r w:rsidRPr="001956B0">
        <w:rPr>
          <w:rFonts w:ascii="David" w:eastAsia="Calibri" w:hAnsi="David"/>
          <w:noProof w:val="0"/>
          <w:rtl/>
        </w:rPr>
        <w:t xml:space="preserve">. עוד טען, כי מעת שהמומחה קבע מנגנון של שערוך לנתונים אליהם הגיע, בין בהצמדה, בין בהצמדה וריבית על פי הדין,  אזי הטיעון של הנתבעת כי הנתונים "ארכאיים" לא עומד עוד ולא מן הנמנע כי הם אף מיטיבים עמה דווקא (על שום שהשערוך עולה על הגידול בשכר). בנוסף טען התובע, כי לאור עדות המומחה, מאחר והפנסיות של </w:t>
      </w:r>
      <w:r w:rsidRPr="00B80A6E">
        <w:rPr>
          <w:rFonts w:ascii="David" w:eastAsia="Calibri" w:hAnsi="David"/>
          <w:noProof w:val="0"/>
          <w:rtl/>
        </w:rPr>
        <w:t>הצדדים דומות למדי בסכומיהן, אזי ביצוע חישוב לפי גובה שכר במועד אחר לא היה גורם לשינוי מהותי בתוצאה השוויונית. (עמ' 25 שורות 22-25; וסעיף 8 לתשובותיו לשאלות ההבהרה).</w:t>
      </w:r>
    </w:p>
    <w:p w:rsidR="00222B1B" w:rsidRPr="006B5C4F" w:rsidRDefault="00222B1B" w:rsidP="00222B1B">
      <w:pPr>
        <w:rPr>
          <w:rFonts w:ascii="David" w:eastAsia="Calibri" w:hAnsi="David"/>
          <w:noProof w:val="0"/>
          <w:rtl/>
        </w:rPr>
      </w:pPr>
    </w:p>
    <w:p w:rsidR="002367A9" w:rsidRDefault="001E5E9A" w:rsidP="005A743A">
      <w:pPr>
        <w:numPr>
          <w:ilvl w:val="0"/>
          <w:numId w:val="1"/>
        </w:numPr>
        <w:spacing w:after="160" w:line="360" w:lineRule="auto"/>
        <w:contextualSpacing/>
        <w:jc w:val="both"/>
        <w:rPr>
          <w:rFonts w:ascii="David" w:eastAsia="Calibri" w:hAnsi="David"/>
          <w:noProof w:val="0"/>
        </w:rPr>
      </w:pPr>
      <w:r w:rsidRPr="002367A9">
        <w:rPr>
          <w:rFonts w:ascii="David" w:eastAsia="Calibri" w:hAnsi="David" w:hint="cs"/>
          <w:noProof w:val="0"/>
          <w:rtl/>
        </w:rPr>
        <w:t xml:space="preserve">בפסיקה </w:t>
      </w:r>
      <w:r w:rsidRPr="002367A9">
        <w:rPr>
          <w:rFonts w:ascii="David" w:eastAsia="Calibri" w:hAnsi="David"/>
          <w:noProof w:val="0"/>
          <w:rtl/>
        </w:rPr>
        <w:t>לא קיימת</w:t>
      </w:r>
      <w:r w:rsidR="00552CFA" w:rsidRPr="002367A9">
        <w:rPr>
          <w:rFonts w:ascii="David" w:eastAsia="Calibri" w:hAnsi="David"/>
          <w:noProof w:val="0"/>
          <w:rtl/>
        </w:rPr>
        <w:t xml:space="preserve"> עמדה ברורה בשאלה האם יש לחשב את זכויות הפנסיה לפי ערכה במועד הקובע או ביום הפרישה. בעוד יש הסוברים שיש לחשב את הזכויות לפי המשכורת האחרונה </w:t>
      </w:r>
      <w:r w:rsidR="006C648B" w:rsidRPr="002367A9">
        <w:rPr>
          <w:rFonts w:ascii="David" w:eastAsia="Calibri" w:hAnsi="David" w:hint="cs"/>
          <w:noProof w:val="0"/>
          <w:rtl/>
        </w:rPr>
        <w:t xml:space="preserve">בעת הפרישה </w:t>
      </w:r>
      <w:r w:rsidR="005A743A">
        <w:rPr>
          <w:rFonts w:ascii="David" w:eastAsia="Calibri" w:hAnsi="David"/>
          <w:noProof w:val="0"/>
          <w:rtl/>
        </w:rPr>
        <w:t xml:space="preserve">(כגון </w:t>
      </w:r>
      <w:r w:rsidR="00552CFA" w:rsidRPr="002367A9">
        <w:rPr>
          <w:rFonts w:ascii="David" w:eastAsia="Calibri" w:hAnsi="David"/>
          <w:noProof w:val="0"/>
          <w:rtl/>
        </w:rPr>
        <w:t xml:space="preserve">ע"מ (י-ם) 2038/07 </w:t>
      </w:r>
      <w:r w:rsidR="00552CFA" w:rsidRPr="002367A9">
        <w:rPr>
          <w:rFonts w:ascii="David" w:eastAsia="Calibri" w:hAnsi="David"/>
          <w:b/>
          <w:bCs/>
          <w:noProof w:val="0"/>
          <w:rtl/>
        </w:rPr>
        <w:t>פלוני נ' פלונית</w:t>
      </w:r>
      <w:r w:rsidR="00F63EDC">
        <w:rPr>
          <w:rFonts w:ascii="David" w:eastAsia="Calibri" w:hAnsi="David"/>
          <w:noProof w:val="0"/>
          <w:rtl/>
        </w:rPr>
        <w:t xml:space="preserve"> </w:t>
      </w:r>
      <w:r w:rsidR="005A743A">
        <w:rPr>
          <w:rFonts w:ascii="David" w:eastAsia="Calibri" w:hAnsi="David"/>
          <w:noProof w:val="0"/>
        </w:rPr>
        <w:t>(2.9.2007)</w:t>
      </w:r>
      <w:r w:rsidR="00552CFA" w:rsidRPr="002367A9">
        <w:rPr>
          <w:rFonts w:ascii="David" w:eastAsia="Calibri" w:hAnsi="David"/>
          <w:noProof w:val="0"/>
          <w:rtl/>
        </w:rPr>
        <w:t>), יש הסוברים שיש לחשב את הזכאות לפנסיה בהתאם למשכורת במועד הקובע, היות שאין לבן הזוג חלק ונחלה בגי</w:t>
      </w:r>
      <w:r w:rsidR="005A743A">
        <w:rPr>
          <w:rFonts w:ascii="David" w:eastAsia="Calibri" w:hAnsi="David"/>
          <w:noProof w:val="0"/>
          <w:rtl/>
        </w:rPr>
        <w:t>דול בשכר שנוצר לאחר מועד הקרע (</w:t>
      </w:r>
      <w:r w:rsidR="00552CFA" w:rsidRPr="002367A9">
        <w:rPr>
          <w:rFonts w:ascii="David" w:eastAsia="Calibri" w:hAnsi="David"/>
          <w:noProof w:val="0"/>
          <w:rtl/>
        </w:rPr>
        <w:t xml:space="preserve">ע"מ (ת"א) 1014/06 </w:t>
      </w:r>
      <w:r w:rsidR="00552CFA" w:rsidRPr="002367A9">
        <w:rPr>
          <w:rFonts w:ascii="David" w:eastAsia="Calibri" w:hAnsi="David"/>
          <w:b/>
          <w:bCs/>
          <w:noProof w:val="0"/>
          <w:rtl/>
        </w:rPr>
        <w:t>פלוני נ' אלמונית</w:t>
      </w:r>
      <w:r w:rsidR="00EF220C" w:rsidRPr="002367A9">
        <w:rPr>
          <w:rFonts w:ascii="David" w:eastAsia="Calibri" w:hAnsi="David" w:hint="cs"/>
          <w:b/>
          <w:bCs/>
          <w:noProof w:val="0"/>
          <w:rtl/>
        </w:rPr>
        <w:t xml:space="preserve"> </w:t>
      </w:r>
      <w:r w:rsidR="00552CFA" w:rsidRPr="002367A9">
        <w:rPr>
          <w:rFonts w:ascii="David" w:eastAsia="Calibri" w:hAnsi="David"/>
          <w:noProof w:val="0"/>
        </w:rPr>
        <w:t>(28.11.2006)</w:t>
      </w:r>
      <w:r w:rsidR="00552CFA" w:rsidRPr="002367A9">
        <w:rPr>
          <w:rFonts w:ascii="David" w:eastAsia="Calibri" w:hAnsi="David"/>
          <w:noProof w:val="0"/>
          <w:rtl/>
        </w:rPr>
        <w:t xml:space="preserve">). נראה כי ההכרעה בשאלה זו היא </w:t>
      </w:r>
      <w:r w:rsidR="00552CFA" w:rsidRPr="002367A9">
        <w:rPr>
          <w:rFonts w:ascii="David" w:eastAsia="Calibri" w:hAnsi="David"/>
          <w:b/>
          <w:bCs/>
          <w:noProof w:val="0"/>
          <w:rtl/>
        </w:rPr>
        <w:t>תלוית נסיבות</w:t>
      </w:r>
      <w:r w:rsidR="00552CFA" w:rsidRPr="002367A9">
        <w:rPr>
          <w:rFonts w:ascii="David" w:eastAsia="Calibri" w:hAnsi="David"/>
          <w:noProof w:val="0"/>
          <w:rtl/>
        </w:rPr>
        <w:t xml:space="preserve"> ואינה אחידה</w:t>
      </w:r>
      <w:r w:rsidR="00552CFA" w:rsidRPr="002367A9">
        <w:rPr>
          <w:rFonts w:ascii="David" w:eastAsia="Calibri" w:hAnsi="David" w:hint="cs"/>
          <w:noProof w:val="0"/>
          <w:rtl/>
        </w:rPr>
        <w:t xml:space="preserve">. </w:t>
      </w:r>
      <w:r w:rsidRPr="002367A9">
        <w:rPr>
          <w:rFonts w:ascii="David" w:eastAsia="Calibri" w:hAnsi="David" w:hint="cs"/>
          <w:noProof w:val="0"/>
          <w:rtl/>
        </w:rPr>
        <w:t xml:space="preserve">ראו: </w:t>
      </w:r>
      <w:r w:rsidR="00552CFA" w:rsidRPr="002367A9">
        <w:rPr>
          <w:rFonts w:ascii="David" w:eastAsia="Calibri" w:hAnsi="David"/>
          <w:noProof w:val="0"/>
          <w:rtl/>
        </w:rPr>
        <w:t>עמ"ש (מחוזי תל אביב-יפו) 20486-07-21 </w:t>
      </w:r>
      <w:r w:rsidR="00552CFA" w:rsidRPr="002367A9">
        <w:rPr>
          <w:rFonts w:ascii="David" w:eastAsia="Calibri" w:hAnsi="David"/>
          <w:b/>
          <w:bCs/>
          <w:noProof w:val="0"/>
          <w:rtl/>
        </w:rPr>
        <w:t>פלונית נ' פלוני</w:t>
      </w:r>
      <w:r w:rsidR="00552CFA" w:rsidRPr="002367A9">
        <w:rPr>
          <w:rFonts w:ascii="David" w:eastAsia="Calibri" w:hAnsi="David"/>
          <w:noProof w:val="0"/>
          <w:rtl/>
        </w:rPr>
        <w:t> (10.03.2022)‏</w:t>
      </w:r>
      <w:r w:rsidR="002367A9">
        <w:rPr>
          <w:rFonts w:ascii="David" w:eastAsia="Calibri" w:hAnsi="David" w:hint="cs"/>
          <w:noProof w:val="0"/>
          <w:rtl/>
        </w:rPr>
        <w:t>).</w:t>
      </w:r>
    </w:p>
    <w:p w:rsidR="002367A9" w:rsidRDefault="002367A9" w:rsidP="002367A9">
      <w:pPr>
        <w:pStyle w:val="ad"/>
        <w:rPr>
          <w:rFonts w:ascii="David" w:eastAsia="Calibri" w:hAnsi="David"/>
          <w:noProof w:val="0"/>
          <w:rtl/>
        </w:rPr>
      </w:pPr>
    </w:p>
    <w:p w:rsidR="00532F84" w:rsidRDefault="00532F84" w:rsidP="00F63EDC">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lastRenderedPageBreak/>
        <w:t xml:space="preserve">גם </w:t>
      </w:r>
      <w:r w:rsidRPr="006B5C4F">
        <w:rPr>
          <w:rFonts w:ascii="David" w:eastAsia="Calibri" w:hAnsi="David"/>
          <w:noProof w:val="0"/>
          <w:rtl/>
        </w:rPr>
        <w:t xml:space="preserve">בבע"מ 4860/16 </w:t>
      </w:r>
      <w:r w:rsidRPr="006B5C4F">
        <w:rPr>
          <w:rFonts w:ascii="David" w:eastAsia="Calibri" w:hAnsi="David"/>
          <w:b/>
          <w:bCs/>
          <w:noProof w:val="0"/>
          <w:rtl/>
        </w:rPr>
        <w:t>פלונית נ' פלוני</w:t>
      </w:r>
      <w:r w:rsidRPr="006B5C4F">
        <w:rPr>
          <w:rFonts w:ascii="David" w:eastAsia="Calibri" w:hAnsi="David"/>
          <w:noProof w:val="0"/>
          <w:rtl/>
        </w:rPr>
        <w:t xml:space="preserve"> (05.09.2017)‏‏, אליו הפנתה הנתבעת בסיכומי התשובה, </w:t>
      </w:r>
      <w:r>
        <w:rPr>
          <w:rFonts w:ascii="David" w:eastAsia="Calibri" w:hAnsi="David" w:hint="cs"/>
          <w:noProof w:val="0"/>
          <w:rtl/>
        </w:rPr>
        <w:t xml:space="preserve">נקבע כי </w:t>
      </w:r>
      <w:r w:rsidRPr="006B5C4F">
        <w:rPr>
          <w:rFonts w:ascii="David" w:eastAsia="Calibri" w:hAnsi="David"/>
          <w:noProof w:val="0"/>
          <w:rtl/>
        </w:rPr>
        <w:t>"</w:t>
      </w:r>
      <w:r w:rsidRPr="006B5C4F">
        <w:rPr>
          <w:rFonts w:ascii="David" w:eastAsia="Calibri" w:hAnsi="David"/>
          <w:b/>
          <w:bCs/>
          <w:noProof w:val="0"/>
          <w:rtl/>
        </w:rPr>
        <w:t>הכל בהתאם לנסיבות</w:t>
      </w:r>
      <w:r w:rsidRPr="006B5C4F">
        <w:rPr>
          <w:rFonts w:ascii="David" w:eastAsia="Calibri" w:hAnsi="David"/>
          <w:noProof w:val="0"/>
          <w:rtl/>
        </w:rPr>
        <w:t>". (ראו: פסקה ס"ד לפסק הדין; וגם סעיף 6ג לחוק יחסי ממון).</w:t>
      </w:r>
    </w:p>
    <w:p w:rsidR="002367A9" w:rsidRDefault="002367A9" w:rsidP="002367A9">
      <w:pPr>
        <w:pStyle w:val="ad"/>
        <w:rPr>
          <w:rFonts w:ascii="David" w:eastAsia="Calibri" w:hAnsi="David"/>
          <w:noProof w:val="0"/>
          <w:rtl/>
        </w:rPr>
      </w:pPr>
    </w:p>
    <w:p w:rsidR="001956B0" w:rsidRDefault="001956B0" w:rsidP="00F63EDC">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 xml:space="preserve">בעמ"ש (מחוזי תל אביב-יפו) 3069-05-10 </w:t>
      </w:r>
      <w:r w:rsidRPr="001956B0">
        <w:rPr>
          <w:rFonts w:ascii="David" w:eastAsia="Calibri" w:hAnsi="David"/>
          <w:b/>
          <w:bCs/>
          <w:noProof w:val="0"/>
          <w:rtl/>
        </w:rPr>
        <w:t>פלוני נ' פלונית</w:t>
      </w:r>
      <w:r w:rsidRPr="001956B0">
        <w:rPr>
          <w:rFonts w:ascii="David" w:eastAsia="Calibri" w:hAnsi="David"/>
          <w:noProof w:val="0"/>
          <w:rtl/>
        </w:rPr>
        <w:t xml:space="preserve"> (24.10.201</w:t>
      </w:r>
      <w:r w:rsidR="001E5E9A">
        <w:rPr>
          <w:rFonts w:ascii="David" w:eastAsia="Calibri" w:hAnsi="David"/>
          <w:noProof w:val="0"/>
          <w:rtl/>
        </w:rPr>
        <w:t>1)‏‏</w:t>
      </w:r>
      <w:r w:rsidR="006C648B">
        <w:rPr>
          <w:rFonts w:ascii="David" w:eastAsia="Calibri" w:hAnsi="David" w:hint="cs"/>
          <w:noProof w:val="0"/>
          <w:rtl/>
        </w:rPr>
        <w:t xml:space="preserve"> ( להלן- עמ"ש </w:t>
      </w:r>
      <w:r w:rsidR="001E5E9A">
        <w:rPr>
          <w:rFonts w:ascii="David" w:eastAsia="Calibri" w:hAnsi="David"/>
          <w:noProof w:val="0"/>
          <w:rtl/>
        </w:rPr>
        <w:t xml:space="preserve"> </w:t>
      </w:r>
      <w:r w:rsidR="006C648B" w:rsidRPr="006C648B">
        <w:rPr>
          <w:rFonts w:ascii="David" w:eastAsia="Calibri" w:hAnsi="David"/>
          <w:noProof w:val="0"/>
          <w:rtl/>
        </w:rPr>
        <w:t>3069-05-10</w:t>
      </w:r>
      <w:r w:rsidR="006C648B">
        <w:rPr>
          <w:rFonts w:ascii="David" w:eastAsia="Calibri" w:hAnsi="David" w:hint="cs"/>
          <w:noProof w:val="0"/>
          <w:rtl/>
        </w:rPr>
        <w:t>)</w:t>
      </w:r>
      <w:r w:rsidR="006C648B" w:rsidRPr="006C648B">
        <w:rPr>
          <w:rFonts w:ascii="David" w:eastAsia="Calibri" w:hAnsi="David"/>
          <w:noProof w:val="0"/>
          <w:rtl/>
        </w:rPr>
        <w:t xml:space="preserve"> </w:t>
      </w:r>
      <w:r w:rsidR="001E5E9A">
        <w:rPr>
          <w:rFonts w:ascii="David" w:eastAsia="Calibri" w:hAnsi="David"/>
          <w:noProof w:val="0"/>
          <w:rtl/>
        </w:rPr>
        <w:t>עמד כב' השופט שנלר על כך ש</w:t>
      </w:r>
      <w:r w:rsidRPr="001956B0">
        <w:rPr>
          <w:rFonts w:ascii="David" w:eastAsia="Calibri" w:hAnsi="David"/>
          <w:noProof w:val="0"/>
          <w:rtl/>
        </w:rPr>
        <w:t>"</w:t>
      </w:r>
      <w:r w:rsidRPr="006B5C4F">
        <w:rPr>
          <w:rFonts w:ascii="David" w:eastAsia="Calibri" w:hAnsi="David"/>
          <w:b/>
          <w:bCs/>
          <w:noProof w:val="0"/>
          <w:rtl/>
        </w:rPr>
        <w:t>אכן, יש לבחון כל מקרה ולנסיבותיו הספציפיות</w:t>
      </w:r>
      <w:r w:rsidRPr="001956B0">
        <w:rPr>
          <w:rFonts w:ascii="David" w:eastAsia="Calibri" w:hAnsi="David"/>
          <w:noProof w:val="0"/>
          <w:rtl/>
        </w:rPr>
        <w:t xml:space="preserve">" ופירט את השיקולים </w:t>
      </w:r>
      <w:r w:rsidR="00B70C90">
        <w:rPr>
          <w:rFonts w:ascii="David" w:eastAsia="Calibri" w:hAnsi="David" w:hint="cs"/>
          <w:noProof w:val="0"/>
          <w:rtl/>
        </w:rPr>
        <w:t>ביחס לכל אחת מ</w:t>
      </w:r>
      <w:r w:rsidRPr="001956B0">
        <w:rPr>
          <w:rFonts w:ascii="David" w:eastAsia="Calibri" w:hAnsi="David"/>
          <w:noProof w:val="0"/>
          <w:rtl/>
        </w:rPr>
        <w:t>הגישות הנוהגות לעניין זה: "</w:t>
      </w:r>
      <w:r w:rsidRPr="006C648B">
        <w:rPr>
          <w:rFonts w:ascii="David" w:eastAsia="Calibri" w:hAnsi="David"/>
          <w:b/>
          <w:bCs/>
          <w:noProof w:val="0"/>
          <w:rtl/>
        </w:rPr>
        <w:t xml:space="preserve">השיקולים לגישה לפיה השכר יחושב לעת הגירושין, כוללים בין השאר, את הנימוק לפיו זכותה של הגרושה התגבשה במועד הפירוד, אך יישום ומימוש הזכות נדחה למועד עתידי. לכן שינויים בשכר הנובעים מקידום מקצועי לאחר הגירושין ותוספות שכר שניתנו לאחר הגירושין, אינם נובעים ממהלך החיים המשותפים. מנגד, השיקולים לגישה האחרת, כוללים בין השאר את הנימוק כי אלמלא בסיס השכר אליו הגיע הפורש בעת הגירושין לא היה מגיע הפורש לאותו שכר עתידי. בנוסף, כי אם אכן הייתה מקבלת הגרושה, בעת הפירוד, את הזכויות העתידיות ואף </w:t>
      </w:r>
      <w:r w:rsidRPr="006C648B">
        <w:rPr>
          <w:rFonts w:ascii="David" w:eastAsia="Calibri" w:hAnsi="David"/>
          <w:b/>
          <w:bCs/>
          <w:noProof w:val="0"/>
          <w:u w:val="single"/>
          <w:rtl/>
        </w:rPr>
        <w:t>תוך כדי היוונן</w:t>
      </w:r>
      <w:r w:rsidRPr="006C648B">
        <w:rPr>
          <w:rFonts w:ascii="David" w:eastAsia="Calibri" w:hAnsi="David"/>
          <w:b/>
          <w:bCs/>
          <w:noProof w:val="0"/>
          <w:rtl/>
        </w:rPr>
        <w:t xml:space="preserve">, ניחא. אולם, מעת שלא קיבלה אותן בעת הגירושין והוסכם כי הגרושה תקבלן במועד עתידי, הרי כנגד העיכוב תהא זכאית הגרושה לשכר כפי שיהיה </w:t>
      </w:r>
      <w:r w:rsidRPr="00B217CB">
        <w:rPr>
          <w:rFonts w:ascii="David" w:eastAsia="Calibri" w:hAnsi="David"/>
          <w:b/>
          <w:bCs/>
          <w:noProof w:val="0"/>
          <w:u w:val="single"/>
          <w:rtl/>
        </w:rPr>
        <w:t>במועד הפרישה</w:t>
      </w:r>
      <w:r w:rsidRPr="001956B0">
        <w:rPr>
          <w:rFonts w:ascii="David" w:eastAsia="Calibri" w:hAnsi="David"/>
          <w:noProof w:val="0"/>
          <w:rtl/>
        </w:rPr>
        <w:t>".</w:t>
      </w:r>
    </w:p>
    <w:p w:rsidR="00F175E3" w:rsidRDefault="00F175E3" w:rsidP="00F175E3">
      <w:pPr>
        <w:spacing w:after="160" w:line="360" w:lineRule="auto"/>
        <w:ind w:left="720"/>
        <w:contextualSpacing/>
        <w:jc w:val="both"/>
        <w:rPr>
          <w:rFonts w:ascii="David" w:eastAsia="Calibri" w:hAnsi="David"/>
          <w:noProof w:val="0"/>
        </w:rPr>
      </w:pPr>
    </w:p>
    <w:p w:rsidR="001956B0" w:rsidRPr="00F175E3" w:rsidRDefault="001956B0" w:rsidP="00F175E3">
      <w:pPr>
        <w:numPr>
          <w:ilvl w:val="0"/>
          <w:numId w:val="1"/>
        </w:numPr>
        <w:spacing w:after="160" w:line="360" w:lineRule="auto"/>
        <w:contextualSpacing/>
        <w:jc w:val="both"/>
        <w:rPr>
          <w:rFonts w:ascii="David" w:eastAsia="Calibri" w:hAnsi="David"/>
          <w:b/>
          <w:bCs/>
          <w:noProof w:val="0"/>
          <w:rtl/>
        </w:rPr>
      </w:pPr>
      <w:r w:rsidRPr="001956B0">
        <w:rPr>
          <w:rFonts w:ascii="David" w:eastAsia="Calibri" w:hAnsi="David"/>
          <w:noProof w:val="0"/>
          <w:rtl/>
        </w:rPr>
        <w:t>כב' השופט שנלר הוסיף והבהיר כי  השיקול המרכזי אותו יש להביא בחשבון, עניינו  - "</w:t>
      </w:r>
      <w:r w:rsidRPr="00F175E3">
        <w:rPr>
          <w:rFonts w:ascii="David" w:eastAsia="Calibri" w:hAnsi="David"/>
          <w:b/>
          <w:bCs/>
          <w:noProof w:val="0"/>
          <w:rtl/>
        </w:rPr>
        <w:t xml:space="preserve">בחינה מהותית של אותה "תרומה" משותפת של חיי הנישואין ולשכרו של הפורש. בלשון אחרת, יש לבחון את היחס בין שנות הנישואין לסך שנות השירות, כך גם בחינת ההתקדמות היחסית בתקופת הנישואין, לעומת ההתקדמות לאחריה. ככל שתקופת הנישואין מתוך כלל שנות השירות ארוכה יותר, אזי יש להעדיף את הגישה לפיה השכר הקובע יהיה השכר במועד הפרישה. הסיבה לכך, כי אם רוב שנות השירות היו במסגרת </w:t>
      </w:r>
      <w:r w:rsidRPr="00F175E3">
        <w:rPr>
          <w:rFonts w:ascii="David" w:eastAsia="Calibri" w:hAnsi="David"/>
          <w:b/>
          <w:bCs/>
          <w:noProof w:val="0"/>
          <w:rtl/>
        </w:rPr>
        <w:lastRenderedPageBreak/>
        <w:t>הנישואין, הרי ניתן לראות בעצם האפשרות לקידום, כעין "מוניטין" שנצבר במהלך הנישואין. מנגד, ככל שתקופת הנישואין קצרה יחסית, הנטיה תהא לקבל את הגישה האחרת.".</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360A5D">
      <w:pPr>
        <w:numPr>
          <w:ilvl w:val="0"/>
          <w:numId w:val="1"/>
        </w:numPr>
        <w:spacing w:after="160" w:line="360" w:lineRule="auto"/>
        <w:contextualSpacing/>
        <w:jc w:val="both"/>
        <w:rPr>
          <w:rFonts w:ascii="David" w:eastAsia="Calibri" w:hAnsi="David"/>
          <w:noProof w:val="0"/>
          <w:rtl/>
        </w:rPr>
      </w:pPr>
      <w:r w:rsidRPr="001956B0">
        <w:rPr>
          <w:rFonts w:ascii="David" w:eastAsia="Calibri" w:hAnsi="David"/>
          <w:noProof w:val="0"/>
          <w:rtl/>
        </w:rPr>
        <w:t>במקרה דנן</w:t>
      </w:r>
      <w:r w:rsidR="00C92DA6">
        <w:rPr>
          <w:rFonts w:ascii="David" w:eastAsia="Calibri" w:hAnsi="David" w:hint="cs"/>
          <w:noProof w:val="0"/>
          <w:rtl/>
        </w:rPr>
        <w:t>,</w:t>
      </w:r>
      <w:r w:rsidRPr="001956B0">
        <w:rPr>
          <w:rFonts w:ascii="David" w:eastAsia="Calibri" w:hAnsi="David"/>
          <w:noProof w:val="0"/>
          <w:rtl/>
        </w:rPr>
        <w:t xml:space="preserve"> עסקינן בתקופת נישואין ממושכת בת כ- 35 שנים, אשר מהווה חלק נכבד מתקופת העבודה של הצדדים שניהם. התובע עובד בתחום הטכנולוגי במשרד ראש הממשלה וזאת במשך למעלה משני עשורים (החל מחודש ספטמבר 1995) כאשר קודם לכך עבד בתע"ש מתחילת שנת 1980 ועד לאמצע שנת 1995. </w:t>
      </w:r>
      <w:r w:rsidR="00FA60F2">
        <w:rPr>
          <w:rFonts w:ascii="David" w:eastAsia="Calibri" w:hAnsi="David" w:hint="cs"/>
          <w:noProof w:val="0"/>
          <w:rtl/>
        </w:rPr>
        <w:t xml:space="preserve">הנתבעת, </w:t>
      </w:r>
      <w:r w:rsidRPr="001956B0">
        <w:rPr>
          <w:rFonts w:ascii="David" w:eastAsia="Calibri" w:hAnsi="David"/>
          <w:noProof w:val="0"/>
          <w:rtl/>
        </w:rPr>
        <w:t xml:space="preserve">משלהי 1981, בסמוך לאחר נישואי הצדדים, החלה עבודתה באוניברסיטה העברית בירושלים. (סעיפים 3-4 לתביעה).  כך שממועד הפירוד ועד לגיל הפרישה של הנתבעת (62) יחלפו 7 שנים, בעוד שממועד הפירוד ועד גיל הפרישה של התובע (67) יחלפו כתשע שנים. מכאן עולה כי מרבית תקופת העבודה של הצדדים שניהם הייתה בתקופת הנישואין. </w:t>
      </w:r>
    </w:p>
    <w:p w:rsidR="001956B0" w:rsidRPr="001956B0" w:rsidRDefault="001956B0" w:rsidP="001956B0">
      <w:pPr>
        <w:spacing w:after="160" w:line="256" w:lineRule="auto"/>
        <w:ind w:left="720"/>
        <w:contextualSpacing/>
        <w:rPr>
          <w:rFonts w:ascii="David" w:eastAsia="Calibri" w:hAnsi="David"/>
          <w:noProof w:val="0"/>
        </w:rPr>
      </w:pPr>
    </w:p>
    <w:p w:rsidR="006C42A3" w:rsidRPr="00276853" w:rsidRDefault="001956B0" w:rsidP="00360A5D">
      <w:pPr>
        <w:numPr>
          <w:ilvl w:val="0"/>
          <w:numId w:val="1"/>
        </w:numPr>
        <w:spacing w:after="160" w:line="360" w:lineRule="auto"/>
        <w:contextualSpacing/>
        <w:jc w:val="both"/>
        <w:rPr>
          <w:rFonts w:ascii="David" w:eastAsia="Calibri" w:hAnsi="David"/>
          <w:noProof w:val="0"/>
        </w:rPr>
      </w:pPr>
      <w:r w:rsidRPr="001956B0">
        <w:rPr>
          <w:rFonts w:ascii="David" w:eastAsia="Calibri" w:hAnsi="David"/>
          <w:noProof w:val="0"/>
          <w:rtl/>
        </w:rPr>
        <w:t xml:space="preserve">בנסיבות אלה, </w:t>
      </w:r>
      <w:r w:rsidR="00D454BA" w:rsidRPr="00DE3FA6">
        <w:rPr>
          <w:rFonts w:ascii="David" w:eastAsia="Calibri" w:hAnsi="David" w:hint="cs"/>
          <w:b/>
          <w:bCs/>
          <w:noProof w:val="0"/>
          <w:rtl/>
        </w:rPr>
        <w:t>לכאורה</w:t>
      </w:r>
      <w:r w:rsidRPr="001956B0">
        <w:rPr>
          <w:rFonts w:ascii="David" w:eastAsia="Calibri" w:hAnsi="David"/>
          <w:noProof w:val="0"/>
          <w:rtl/>
        </w:rPr>
        <w:t xml:space="preserve">, נדמה כי </w:t>
      </w:r>
      <w:r w:rsidR="00276853">
        <w:rPr>
          <w:rFonts w:ascii="David" w:eastAsia="Calibri" w:hAnsi="David" w:hint="cs"/>
          <w:noProof w:val="0"/>
          <w:rtl/>
        </w:rPr>
        <w:t xml:space="preserve">בעניינו </w:t>
      </w:r>
      <w:r w:rsidR="00360A5D">
        <w:rPr>
          <w:rFonts w:ascii="David" w:eastAsia="Calibri" w:hAnsi="David" w:hint="cs"/>
          <w:noProof w:val="0"/>
          <w:rtl/>
        </w:rPr>
        <w:t xml:space="preserve">היה מקום לשקול את בקשת </w:t>
      </w:r>
      <w:r w:rsidRPr="00276853">
        <w:rPr>
          <w:rFonts w:ascii="David" w:eastAsia="Calibri" w:hAnsi="David"/>
          <w:noProof w:val="0"/>
          <w:rtl/>
        </w:rPr>
        <w:t xml:space="preserve">הנתבעת להתחשב במשכורת </w:t>
      </w:r>
      <w:r w:rsidRPr="00276853">
        <w:rPr>
          <w:rFonts w:ascii="David" w:eastAsia="Calibri" w:hAnsi="David"/>
          <w:b/>
          <w:bCs/>
          <w:noProof w:val="0"/>
          <w:rtl/>
        </w:rPr>
        <w:t>בעת הפרישה</w:t>
      </w:r>
      <w:r w:rsidRPr="00276853">
        <w:rPr>
          <w:rFonts w:ascii="David" w:eastAsia="Calibri" w:hAnsi="David"/>
          <w:noProof w:val="0"/>
          <w:rtl/>
        </w:rPr>
        <w:t xml:space="preserve">. </w:t>
      </w:r>
    </w:p>
    <w:p w:rsidR="006C42A3" w:rsidRDefault="006C42A3" w:rsidP="006C42A3">
      <w:pPr>
        <w:pStyle w:val="ad"/>
        <w:rPr>
          <w:rFonts w:ascii="David" w:eastAsia="Calibri" w:hAnsi="David"/>
          <w:noProof w:val="0"/>
          <w:rtl/>
        </w:rPr>
      </w:pPr>
    </w:p>
    <w:p w:rsidR="00A70D6C" w:rsidRDefault="002616A2" w:rsidP="00356F62">
      <w:pPr>
        <w:numPr>
          <w:ilvl w:val="0"/>
          <w:numId w:val="1"/>
        </w:numPr>
        <w:spacing w:after="160" w:line="360" w:lineRule="auto"/>
        <w:contextualSpacing/>
        <w:jc w:val="both"/>
        <w:rPr>
          <w:rFonts w:ascii="David" w:eastAsia="Calibri" w:hAnsi="David"/>
          <w:noProof w:val="0"/>
        </w:rPr>
      </w:pPr>
      <w:r w:rsidRPr="00470F8D">
        <w:rPr>
          <w:rFonts w:ascii="David" w:eastAsia="Calibri" w:hAnsi="David" w:hint="cs"/>
          <w:noProof w:val="0"/>
          <w:rtl/>
        </w:rPr>
        <w:t>אולם,</w:t>
      </w:r>
      <w:r w:rsidR="006C42A3" w:rsidRPr="00470F8D">
        <w:rPr>
          <w:rFonts w:ascii="David" w:eastAsia="Calibri" w:hAnsi="David" w:hint="cs"/>
          <w:noProof w:val="0"/>
          <w:rtl/>
        </w:rPr>
        <w:t xml:space="preserve"> </w:t>
      </w:r>
      <w:r w:rsidR="003334C8" w:rsidRPr="00470F8D">
        <w:rPr>
          <w:rFonts w:ascii="David" w:eastAsia="Calibri" w:hAnsi="David" w:hint="cs"/>
          <w:noProof w:val="0"/>
          <w:rtl/>
        </w:rPr>
        <w:t>בעניינינו אנו</w:t>
      </w:r>
      <w:r w:rsidRPr="00470F8D">
        <w:rPr>
          <w:rFonts w:ascii="David" w:eastAsia="Calibri" w:hAnsi="David" w:hint="cs"/>
          <w:noProof w:val="0"/>
          <w:rtl/>
        </w:rPr>
        <w:t>,</w:t>
      </w:r>
      <w:r w:rsidR="006C42A3" w:rsidRPr="00470F8D">
        <w:rPr>
          <w:rFonts w:ascii="David" w:eastAsia="Calibri" w:hAnsi="David" w:hint="cs"/>
          <w:noProof w:val="0"/>
          <w:rtl/>
        </w:rPr>
        <w:t xml:space="preserve"> </w:t>
      </w:r>
      <w:r w:rsidR="00D92179">
        <w:rPr>
          <w:rFonts w:ascii="David" w:eastAsia="Calibri" w:hAnsi="David" w:hint="cs"/>
          <w:noProof w:val="0"/>
          <w:rtl/>
        </w:rPr>
        <w:t xml:space="preserve">שונים פני הדברים שכן </w:t>
      </w:r>
      <w:r w:rsidR="003334C8" w:rsidRPr="00470F8D">
        <w:rPr>
          <w:rFonts w:ascii="David" w:eastAsia="Calibri" w:hAnsi="David" w:hint="cs"/>
          <w:noProof w:val="0"/>
          <w:rtl/>
        </w:rPr>
        <w:t xml:space="preserve">הצדדים </w:t>
      </w:r>
      <w:r w:rsidR="00470F8D" w:rsidRPr="00470F8D">
        <w:rPr>
          <w:rFonts w:ascii="David" w:eastAsia="Calibri" w:hAnsi="David" w:hint="cs"/>
          <w:noProof w:val="0"/>
          <w:rtl/>
        </w:rPr>
        <w:t xml:space="preserve">הסכימו </w:t>
      </w:r>
      <w:r w:rsidR="006C42A3" w:rsidRPr="00470F8D">
        <w:rPr>
          <w:rFonts w:ascii="David" w:eastAsia="Calibri" w:hAnsi="David" w:hint="cs"/>
          <w:noProof w:val="0"/>
          <w:rtl/>
        </w:rPr>
        <w:t xml:space="preserve">כאמור על </w:t>
      </w:r>
      <w:r w:rsidR="006C42A3" w:rsidRPr="00470F8D">
        <w:rPr>
          <w:rFonts w:ascii="David" w:eastAsia="Calibri" w:hAnsi="David" w:hint="cs"/>
          <w:b/>
          <w:bCs/>
          <w:noProof w:val="0"/>
          <w:rtl/>
        </w:rPr>
        <w:t>עריכת היוון</w:t>
      </w:r>
      <w:r w:rsidR="006C42A3" w:rsidRPr="00470F8D">
        <w:rPr>
          <w:rFonts w:ascii="David" w:eastAsia="Calibri" w:hAnsi="David" w:hint="cs"/>
          <w:noProof w:val="0"/>
          <w:rtl/>
        </w:rPr>
        <w:t xml:space="preserve">, </w:t>
      </w:r>
      <w:r w:rsidR="00360A5D" w:rsidRPr="00470F8D">
        <w:rPr>
          <w:rFonts w:ascii="David" w:eastAsia="Calibri" w:hAnsi="David" w:hint="cs"/>
          <w:noProof w:val="0"/>
          <w:rtl/>
        </w:rPr>
        <w:t>באו</w:t>
      </w:r>
      <w:r w:rsidR="003C3732" w:rsidRPr="00470F8D">
        <w:rPr>
          <w:rFonts w:ascii="David" w:eastAsia="Calibri" w:hAnsi="David" w:hint="cs"/>
          <w:noProof w:val="0"/>
          <w:rtl/>
        </w:rPr>
        <w:t>פן שכלל זכויותיהם לרבות הזכויות העתידיות יחושבו עתה</w:t>
      </w:r>
      <w:r w:rsidRPr="00470F8D">
        <w:rPr>
          <w:rFonts w:ascii="David" w:eastAsia="Calibri" w:hAnsi="David" w:hint="cs"/>
          <w:noProof w:val="0"/>
          <w:rtl/>
        </w:rPr>
        <w:t xml:space="preserve">, מראש, </w:t>
      </w:r>
      <w:r w:rsidR="003C3732" w:rsidRPr="00470F8D">
        <w:rPr>
          <w:rFonts w:ascii="David" w:eastAsia="Calibri" w:hAnsi="David" w:hint="cs"/>
          <w:noProof w:val="0"/>
          <w:rtl/>
        </w:rPr>
        <w:t>לשם התחשבנות סופית</w:t>
      </w:r>
      <w:r w:rsidR="00470F8D" w:rsidRPr="00470F8D">
        <w:rPr>
          <w:rFonts w:ascii="David" w:eastAsia="Calibri" w:hAnsi="David" w:hint="cs"/>
          <w:noProof w:val="0"/>
          <w:rtl/>
        </w:rPr>
        <w:t xml:space="preserve">, ואילו </w:t>
      </w:r>
      <w:r w:rsidR="000E7608" w:rsidRPr="00470F8D">
        <w:rPr>
          <w:rFonts w:ascii="David" w:eastAsia="Calibri" w:hAnsi="David"/>
          <w:noProof w:val="0"/>
          <w:rtl/>
        </w:rPr>
        <w:t xml:space="preserve">הנתון של המשכורת בעת הפרישה הינו </w:t>
      </w:r>
      <w:r w:rsidR="000E7608" w:rsidRPr="00470F8D">
        <w:rPr>
          <w:rFonts w:ascii="David" w:eastAsia="Calibri" w:hAnsi="David"/>
          <w:b/>
          <w:bCs/>
          <w:noProof w:val="0"/>
          <w:rtl/>
        </w:rPr>
        <w:t>נתון עתידי</w:t>
      </w:r>
      <w:r w:rsidR="000E7608" w:rsidRPr="00470F8D">
        <w:rPr>
          <w:rFonts w:ascii="David" w:eastAsia="Calibri" w:hAnsi="David"/>
          <w:noProof w:val="0"/>
          <w:rtl/>
        </w:rPr>
        <w:t xml:space="preserve">, </w:t>
      </w:r>
      <w:r w:rsidR="00470F8D">
        <w:rPr>
          <w:rFonts w:ascii="David" w:eastAsia="Calibri" w:hAnsi="David" w:hint="cs"/>
          <w:noProof w:val="0"/>
          <w:rtl/>
        </w:rPr>
        <w:t>ש</w:t>
      </w:r>
      <w:r w:rsidR="00D92179">
        <w:rPr>
          <w:rFonts w:ascii="David" w:eastAsia="Calibri" w:hAnsi="David" w:hint="cs"/>
          <w:noProof w:val="0"/>
          <w:rtl/>
        </w:rPr>
        <w:t xml:space="preserve">על פניו </w:t>
      </w:r>
      <w:r w:rsidR="000E7608" w:rsidRPr="00470F8D">
        <w:rPr>
          <w:rFonts w:ascii="David" w:eastAsia="Calibri" w:hAnsi="David"/>
          <w:noProof w:val="0"/>
          <w:rtl/>
        </w:rPr>
        <w:t xml:space="preserve">אינו ידוע </w:t>
      </w:r>
      <w:r w:rsidR="00D92179">
        <w:rPr>
          <w:rFonts w:ascii="David" w:eastAsia="Calibri" w:hAnsi="David" w:hint="cs"/>
          <w:noProof w:val="0"/>
          <w:rtl/>
        </w:rPr>
        <w:t xml:space="preserve">בוודאות </w:t>
      </w:r>
      <w:r w:rsidR="008F32DB">
        <w:rPr>
          <w:rFonts w:ascii="David" w:eastAsia="Calibri" w:hAnsi="David" w:hint="cs"/>
          <w:noProof w:val="0"/>
          <w:rtl/>
        </w:rPr>
        <w:t>כ</w:t>
      </w:r>
      <w:r w:rsidR="000E7608" w:rsidRPr="00470F8D">
        <w:rPr>
          <w:rFonts w:ascii="David" w:eastAsia="Calibri" w:hAnsi="David"/>
          <w:noProof w:val="0"/>
          <w:rtl/>
        </w:rPr>
        <w:t xml:space="preserve">יום </w:t>
      </w:r>
      <w:r w:rsidR="008F32DB">
        <w:rPr>
          <w:rFonts w:ascii="David" w:eastAsia="Calibri" w:hAnsi="David" w:hint="cs"/>
          <w:noProof w:val="0"/>
          <w:rtl/>
        </w:rPr>
        <w:t xml:space="preserve"> </w:t>
      </w:r>
      <w:r w:rsidR="000E7608" w:rsidRPr="00470F8D">
        <w:rPr>
          <w:rFonts w:ascii="David" w:eastAsia="Calibri" w:hAnsi="David"/>
          <w:noProof w:val="0"/>
          <w:rtl/>
        </w:rPr>
        <w:t>בטרם פרישת הצדדים לגמלאות</w:t>
      </w:r>
      <w:r w:rsidR="00356F62">
        <w:rPr>
          <w:rFonts w:ascii="David" w:eastAsia="Calibri" w:hAnsi="David" w:hint="cs"/>
          <w:noProof w:val="0"/>
          <w:rtl/>
        </w:rPr>
        <w:t>.</w:t>
      </w:r>
    </w:p>
    <w:p w:rsidR="00A70D6C" w:rsidRPr="008F32DB" w:rsidRDefault="00A70D6C" w:rsidP="00A70D6C">
      <w:pPr>
        <w:pStyle w:val="ad"/>
        <w:rPr>
          <w:rFonts w:ascii="David" w:eastAsia="Calibri" w:hAnsi="David"/>
          <w:noProof w:val="0"/>
          <w:rtl/>
        </w:rPr>
      </w:pPr>
    </w:p>
    <w:p w:rsidR="003C3732" w:rsidRPr="003C3732" w:rsidRDefault="00D92179" w:rsidP="00F63EDC">
      <w:pPr>
        <w:numPr>
          <w:ilvl w:val="0"/>
          <w:numId w:val="1"/>
        </w:numPr>
        <w:spacing w:after="160" w:line="360" w:lineRule="auto"/>
        <w:contextualSpacing/>
        <w:jc w:val="both"/>
        <w:rPr>
          <w:rFonts w:ascii="David" w:eastAsia="Calibri" w:hAnsi="David"/>
          <w:noProof w:val="0"/>
        </w:rPr>
      </w:pPr>
      <w:r w:rsidRPr="00A067BF">
        <w:rPr>
          <w:rFonts w:ascii="Arial" w:hAnsi="Arial" w:hint="cs"/>
          <w:noProof w:val="0"/>
          <w:rtl/>
        </w:rPr>
        <w:lastRenderedPageBreak/>
        <w:t>מקום בו הצדדים הסכימו לאזן זכויותיהם על פי דרך של היוון</w:t>
      </w:r>
      <w:r>
        <w:rPr>
          <w:rFonts w:ascii="Arial" w:hAnsi="Arial" w:hint="cs"/>
          <w:noProof w:val="0"/>
          <w:rtl/>
        </w:rPr>
        <w:t>, ומאחר ו</w:t>
      </w:r>
      <w:r w:rsidRPr="00A067BF">
        <w:rPr>
          <w:rFonts w:ascii="Arial" w:hAnsi="Arial" w:hint="cs"/>
          <w:noProof w:val="0"/>
          <w:rtl/>
        </w:rPr>
        <w:t xml:space="preserve">ההיוון </w:t>
      </w:r>
      <w:r>
        <w:rPr>
          <w:rFonts w:ascii="Arial" w:hAnsi="Arial" w:hint="cs"/>
          <w:noProof w:val="0"/>
          <w:rtl/>
        </w:rPr>
        <w:t xml:space="preserve">מהווה </w:t>
      </w:r>
      <w:r w:rsidRPr="00A067BF">
        <w:rPr>
          <w:rFonts w:ascii="Arial" w:hAnsi="Arial" w:hint="cs"/>
          <w:noProof w:val="0"/>
          <w:rtl/>
        </w:rPr>
        <w:t xml:space="preserve">על פי רוב </w:t>
      </w:r>
      <w:r w:rsidRPr="00D92179">
        <w:rPr>
          <w:rFonts w:ascii="Arial" w:hAnsi="Arial" w:hint="cs"/>
          <w:b/>
          <w:bCs/>
          <w:noProof w:val="0"/>
          <w:rtl/>
        </w:rPr>
        <w:t>חריג</w:t>
      </w:r>
      <w:r w:rsidRPr="00A067BF">
        <w:rPr>
          <w:rFonts w:ascii="Arial" w:hAnsi="Arial" w:hint="cs"/>
          <w:noProof w:val="0"/>
          <w:rtl/>
        </w:rPr>
        <w:t xml:space="preserve"> לכלל הקובע כי </w:t>
      </w:r>
      <w:r w:rsidRPr="00A067BF">
        <w:rPr>
          <w:rFonts w:ascii="Arial" w:hAnsi="Arial"/>
          <w:noProof w:val="0"/>
          <w:rtl/>
        </w:rPr>
        <w:t>האיזון יתבצע במועד הבשלת הזכות</w:t>
      </w:r>
      <w:r w:rsidRPr="00A067BF">
        <w:rPr>
          <w:rFonts w:ascii="Arial" w:hAnsi="Arial" w:hint="cs"/>
          <w:noProof w:val="0"/>
          <w:rtl/>
        </w:rPr>
        <w:t xml:space="preserve"> </w:t>
      </w:r>
      <w:r w:rsidR="008F32DB">
        <w:rPr>
          <w:rFonts w:ascii="Arial" w:hAnsi="Arial" w:hint="cs"/>
          <w:noProof w:val="0"/>
          <w:rtl/>
        </w:rPr>
        <w:t>(</w:t>
      </w:r>
      <w:r w:rsidRPr="00A067BF">
        <w:rPr>
          <w:rFonts w:ascii="Arial" w:hAnsi="Arial" w:hint="cs"/>
          <w:noProof w:val="0"/>
          <w:rtl/>
        </w:rPr>
        <w:t xml:space="preserve">ראו: </w:t>
      </w:r>
      <w:r w:rsidRPr="00A067BF">
        <w:rPr>
          <w:rFonts w:ascii="Arial" w:hAnsi="Arial"/>
          <w:noProof w:val="0"/>
          <w:rtl/>
        </w:rPr>
        <w:t>עמש (חי') 8952-03-20</w:t>
      </w:r>
      <w:r w:rsidRPr="00A067BF">
        <w:rPr>
          <w:rFonts w:ascii="Arial" w:hAnsi="Arial" w:hint="cs"/>
          <w:noProof w:val="0"/>
          <w:rtl/>
        </w:rPr>
        <w:t xml:space="preserve"> </w:t>
      </w:r>
      <w:r w:rsidRPr="00A067BF">
        <w:rPr>
          <w:rFonts w:ascii="Arial" w:hAnsi="Arial"/>
          <w:b/>
          <w:bCs/>
          <w:noProof w:val="0"/>
          <w:rtl/>
        </w:rPr>
        <w:t>פלונית נ' אלמוני</w:t>
      </w:r>
      <w:r w:rsidRPr="00A067BF">
        <w:rPr>
          <w:rFonts w:ascii="Arial" w:hAnsi="Arial" w:hint="cs"/>
          <w:noProof w:val="0"/>
          <w:rtl/>
        </w:rPr>
        <w:t xml:space="preserve"> (16.06.2020)</w:t>
      </w:r>
      <w:r w:rsidR="008F32DB">
        <w:rPr>
          <w:rFonts w:ascii="Arial" w:hAnsi="Arial" w:hint="cs"/>
          <w:noProof w:val="0"/>
          <w:rtl/>
        </w:rPr>
        <w:t>),</w:t>
      </w:r>
      <w:r w:rsidRPr="00A067BF">
        <w:rPr>
          <w:rFonts w:ascii="Arial" w:hAnsi="Arial" w:hint="cs"/>
          <w:noProof w:val="0"/>
          <w:rtl/>
        </w:rPr>
        <w:t xml:space="preserve"> מצופה היה כי </w:t>
      </w:r>
      <w:r>
        <w:rPr>
          <w:rFonts w:ascii="Arial" w:hAnsi="Arial" w:hint="cs"/>
          <w:noProof w:val="0"/>
          <w:rtl/>
        </w:rPr>
        <w:t xml:space="preserve">בעת עריכת ההסכם </w:t>
      </w:r>
      <w:r w:rsidRPr="00A067BF">
        <w:rPr>
          <w:rFonts w:ascii="Arial" w:hAnsi="Arial" w:hint="cs"/>
          <w:noProof w:val="0"/>
          <w:rtl/>
        </w:rPr>
        <w:t xml:space="preserve">יתייחסו </w:t>
      </w:r>
      <w:r>
        <w:rPr>
          <w:rFonts w:ascii="Arial" w:hAnsi="Arial" w:hint="cs"/>
          <w:noProof w:val="0"/>
          <w:rtl/>
        </w:rPr>
        <w:t xml:space="preserve">הצדדים לתנאי היוון המבוקשים, ובכלל זה </w:t>
      </w:r>
      <w:r w:rsidRPr="00A067BF">
        <w:rPr>
          <w:rFonts w:ascii="Arial" w:hAnsi="Arial" w:hint="cs"/>
          <w:noProof w:val="0"/>
          <w:rtl/>
        </w:rPr>
        <w:t xml:space="preserve">למשכורת </w:t>
      </w:r>
      <w:r w:rsidR="00957D64">
        <w:rPr>
          <w:rFonts w:ascii="Arial" w:hAnsi="Arial" w:hint="cs"/>
          <w:noProof w:val="0"/>
          <w:rtl/>
        </w:rPr>
        <w:t xml:space="preserve">הקובעת </w:t>
      </w:r>
      <w:r w:rsidRPr="00A067BF">
        <w:rPr>
          <w:rFonts w:ascii="Arial" w:hAnsi="Arial" w:hint="cs"/>
          <w:noProof w:val="0"/>
          <w:rtl/>
        </w:rPr>
        <w:t xml:space="preserve">על פיה </w:t>
      </w:r>
      <w:r w:rsidR="00957D64">
        <w:rPr>
          <w:rFonts w:ascii="Arial" w:hAnsi="Arial" w:hint="cs"/>
          <w:noProof w:val="0"/>
          <w:rtl/>
        </w:rPr>
        <w:t>ייערך התחשיב ו</w:t>
      </w:r>
      <w:r w:rsidRPr="00A067BF">
        <w:rPr>
          <w:rFonts w:ascii="Arial" w:hAnsi="Arial" w:hint="cs"/>
          <w:noProof w:val="0"/>
          <w:rtl/>
        </w:rPr>
        <w:t>יבוצע היוון הזכויות.</w:t>
      </w:r>
      <w:r w:rsidR="00FA0067">
        <w:rPr>
          <w:rFonts w:ascii="Arial" w:hAnsi="Arial" w:hint="cs"/>
          <w:noProof w:val="0"/>
          <w:rtl/>
        </w:rPr>
        <w:t xml:space="preserve"> </w:t>
      </w:r>
    </w:p>
    <w:p w:rsidR="003C3732" w:rsidRDefault="003C3732" w:rsidP="003C3732">
      <w:pPr>
        <w:pStyle w:val="ad"/>
        <w:rPr>
          <w:rFonts w:ascii="Arial" w:hAnsi="Arial"/>
          <w:noProof w:val="0"/>
          <w:rtl/>
        </w:rPr>
      </w:pPr>
    </w:p>
    <w:p w:rsidR="002616A2" w:rsidRDefault="00957D64" w:rsidP="007819F4">
      <w:pPr>
        <w:numPr>
          <w:ilvl w:val="0"/>
          <w:numId w:val="1"/>
        </w:numPr>
        <w:spacing w:after="160" w:line="360" w:lineRule="auto"/>
        <w:contextualSpacing/>
        <w:jc w:val="both"/>
        <w:rPr>
          <w:rFonts w:ascii="David" w:eastAsia="Calibri" w:hAnsi="David"/>
          <w:noProof w:val="0"/>
        </w:rPr>
      </w:pPr>
      <w:r>
        <w:rPr>
          <w:rFonts w:ascii="Arial" w:hAnsi="Arial" w:hint="cs"/>
          <w:noProof w:val="0"/>
          <w:rtl/>
        </w:rPr>
        <w:t>אולם בעני</w:t>
      </w:r>
      <w:r w:rsidR="007819F4">
        <w:rPr>
          <w:rFonts w:ascii="Arial" w:hAnsi="Arial" w:hint="cs"/>
          <w:noProof w:val="0"/>
          <w:rtl/>
        </w:rPr>
        <w:t>י</w:t>
      </w:r>
      <w:r>
        <w:rPr>
          <w:rFonts w:ascii="Arial" w:hAnsi="Arial" w:hint="cs"/>
          <w:noProof w:val="0"/>
          <w:rtl/>
        </w:rPr>
        <w:t>נ</w:t>
      </w:r>
      <w:r w:rsidR="007819F4">
        <w:rPr>
          <w:rFonts w:ascii="Arial" w:hAnsi="Arial" w:hint="cs"/>
          <w:noProof w:val="0"/>
          <w:rtl/>
        </w:rPr>
        <w:t>נ</w:t>
      </w:r>
      <w:r>
        <w:rPr>
          <w:rFonts w:ascii="Arial" w:hAnsi="Arial" w:hint="cs"/>
          <w:noProof w:val="0"/>
          <w:rtl/>
        </w:rPr>
        <w:t xml:space="preserve">ו, כפי שהובהר לעיל, הצדדים לא התייחסו לסוגיות אלו בהסכם שנכרת ביניהם, וההכרעה הועברה לפתחי. בנסיבות בהן </w:t>
      </w:r>
      <w:r w:rsidR="00D92179">
        <w:rPr>
          <w:rFonts w:ascii="Arial" w:hAnsi="Arial" w:hint="cs"/>
          <w:noProof w:val="0"/>
          <w:rtl/>
        </w:rPr>
        <w:t xml:space="preserve">אין </w:t>
      </w:r>
      <w:r w:rsidR="002616A2" w:rsidRPr="00A067BF">
        <w:rPr>
          <w:rFonts w:ascii="Arial" w:hAnsi="Arial" w:hint="cs"/>
          <w:noProof w:val="0"/>
          <w:rtl/>
        </w:rPr>
        <w:t xml:space="preserve">הסכמה </w:t>
      </w:r>
      <w:r>
        <w:rPr>
          <w:rFonts w:ascii="Arial" w:hAnsi="Arial" w:hint="cs"/>
          <w:noProof w:val="0"/>
          <w:rtl/>
        </w:rPr>
        <w:t xml:space="preserve">מפורשת של </w:t>
      </w:r>
      <w:r w:rsidR="00D92179">
        <w:rPr>
          <w:rFonts w:ascii="Arial" w:hAnsi="Arial" w:hint="cs"/>
          <w:noProof w:val="0"/>
          <w:rtl/>
        </w:rPr>
        <w:t xml:space="preserve">הצדדים </w:t>
      </w:r>
      <w:r w:rsidR="002616A2" w:rsidRPr="00A067BF">
        <w:rPr>
          <w:rFonts w:ascii="Arial" w:hAnsi="Arial" w:hint="cs"/>
          <w:noProof w:val="0"/>
          <w:rtl/>
        </w:rPr>
        <w:t>באשר לאופן בו יבוצע האיזון ביניהם הרי ש</w:t>
      </w:r>
      <w:r w:rsidR="00D92179">
        <w:rPr>
          <w:rFonts w:ascii="Arial" w:hAnsi="Arial" w:hint="cs"/>
          <w:noProof w:val="0"/>
          <w:rtl/>
        </w:rPr>
        <w:t xml:space="preserve">כלל </w:t>
      </w:r>
      <w:r w:rsidR="002616A2" w:rsidRPr="00A067BF">
        <w:rPr>
          <w:rFonts w:ascii="Arial" w:hAnsi="Arial" w:hint="cs"/>
          <w:noProof w:val="0"/>
          <w:rtl/>
        </w:rPr>
        <w:t>בית המשפט יכריע</w:t>
      </w:r>
      <w:r w:rsidR="00F1400E">
        <w:rPr>
          <w:rFonts w:ascii="Arial" w:hAnsi="Arial" w:hint="cs"/>
          <w:noProof w:val="0"/>
          <w:rtl/>
        </w:rPr>
        <w:t xml:space="preserve"> על פי אומד דעתם </w:t>
      </w:r>
      <w:r w:rsidR="00D92179">
        <w:rPr>
          <w:rFonts w:ascii="Arial" w:hAnsi="Arial" w:hint="cs"/>
          <w:noProof w:val="0"/>
          <w:rtl/>
        </w:rPr>
        <w:t xml:space="preserve">בעת כריתת ההסכם </w:t>
      </w:r>
      <w:r w:rsidR="00F1400E">
        <w:rPr>
          <w:rFonts w:ascii="Arial" w:hAnsi="Arial" w:hint="cs"/>
          <w:noProof w:val="0"/>
          <w:rtl/>
        </w:rPr>
        <w:t xml:space="preserve">וכן </w:t>
      </w:r>
      <w:r w:rsidR="00D92179">
        <w:rPr>
          <w:rFonts w:ascii="Arial" w:hAnsi="Arial" w:hint="cs"/>
          <w:noProof w:val="0"/>
          <w:rtl/>
        </w:rPr>
        <w:t xml:space="preserve">לפני נסיבות העניין </w:t>
      </w:r>
      <w:r w:rsidR="002616A2" w:rsidRPr="00A067BF">
        <w:rPr>
          <w:rFonts w:ascii="David" w:eastAsia="Calibri" w:hAnsi="David" w:hint="cs"/>
          <w:noProof w:val="0"/>
          <w:rtl/>
        </w:rPr>
        <w:t xml:space="preserve">(סעיף 6 (ג) </w:t>
      </w:r>
      <w:r w:rsidR="002616A2" w:rsidRPr="00A067BF">
        <w:rPr>
          <w:rFonts w:ascii="David" w:eastAsia="Calibri" w:hAnsi="David" w:hint="cs"/>
          <w:b/>
          <w:bCs/>
          <w:noProof w:val="0"/>
          <w:rtl/>
        </w:rPr>
        <w:t>לחוק יחסי ממון בין בני זוג,</w:t>
      </w:r>
      <w:r w:rsidR="002616A2" w:rsidRPr="00A067BF">
        <w:rPr>
          <w:rFonts w:ascii="David" w:eastAsia="Calibri" w:hAnsi="David" w:hint="cs"/>
          <w:noProof w:val="0"/>
          <w:rtl/>
        </w:rPr>
        <w:t xml:space="preserve"> התשל"ג-1973.</w:t>
      </w:r>
    </w:p>
    <w:p w:rsidR="00F1400E" w:rsidRDefault="00F1400E" w:rsidP="00F1400E">
      <w:pPr>
        <w:pStyle w:val="ad"/>
        <w:rPr>
          <w:rFonts w:ascii="David" w:eastAsia="Calibri" w:hAnsi="David"/>
          <w:noProof w:val="0"/>
          <w:rtl/>
        </w:rPr>
      </w:pPr>
    </w:p>
    <w:p w:rsidR="00957D64" w:rsidRDefault="00250487" w:rsidP="00957D64">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בין </w:t>
      </w:r>
      <w:r w:rsidR="00EE7A38" w:rsidRPr="004D6EEA">
        <w:rPr>
          <w:rFonts w:ascii="David" w:eastAsia="Calibri" w:hAnsi="David" w:hint="cs"/>
          <w:noProof w:val="0"/>
          <w:rtl/>
        </w:rPr>
        <w:t>הצדדים</w:t>
      </w:r>
      <w:r w:rsidR="007819F4" w:rsidRPr="007819F4">
        <w:rPr>
          <w:rFonts w:ascii="David" w:eastAsia="Calibri" w:hAnsi="David" w:hint="cs"/>
          <w:noProof w:val="0"/>
          <w:rtl/>
        </w:rPr>
        <w:t xml:space="preserve"> </w:t>
      </w:r>
      <w:r w:rsidR="007819F4">
        <w:rPr>
          <w:rFonts w:ascii="David" w:eastAsia="Calibri" w:hAnsi="David" w:hint="cs"/>
          <w:noProof w:val="0"/>
          <w:rtl/>
        </w:rPr>
        <w:t>נכרת הסכם</w:t>
      </w:r>
      <w:r>
        <w:rPr>
          <w:rFonts w:ascii="David" w:eastAsia="Calibri" w:hAnsi="David" w:hint="cs"/>
          <w:noProof w:val="0"/>
          <w:rtl/>
        </w:rPr>
        <w:t xml:space="preserve">, בו הצדדים </w:t>
      </w:r>
      <w:r w:rsidR="00356F62">
        <w:rPr>
          <w:rFonts w:ascii="David" w:eastAsia="Calibri" w:hAnsi="David" w:hint="cs"/>
          <w:noProof w:val="0"/>
          <w:rtl/>
        </w:rPr>
        <w:t xml:space="preserve">אמנם </w:t>
      </w:r>
      <w:r>
        <w:rPr>
          <w:rFonts w:ascii="David" w:eastAsia="Calibri" w:hAnsi="David" w:hint="cs"/>
          <w:noProof w:val="0"/>
          <w:rtl/>
        </w:rPr>
        <w:t xml:space="preserve">לא </w:t>
      </w:r>
      <w:r w:rsidR="00EE7A38" w:rsidRPr="004D6EEA">
        <w:rPr>
          <w:rFonts w:ascii="David" w:eastAsia="Calibri" w:hAnsi="David" w:hint="cs"/>
          <w:noProof w:val="0"/>
          <w:rtl/>
        </w:rPr>
        <w:t xml:space="preserve">התייחסו </w:t>
      </w:r>
      <w:r w:rsidR="00D92179">
        <w:rPr>
          <w:rFonts w:ascii="David" w:eastAsia="Calibri" w:hAnsi="David" w:hint="cs"/>
          <w:noProof w:val="0"/>
          <w:rtl/>
        </w:rPr>
        <w:t xml:space="preserve">מפורשות </w:t>
      </w:r>
      <w:r w:rsidR="00EE7A38" w:rsidRPr="004D6EEA">
        <w:rPr>
          <w:rFonts w:ascii="David" w:eastAsia="Calibri" w:hAnsi="David" w:hint="cs"/>
          <w:noProof w:val="0"/>
          <w:rtl/>
        </w:rPr>
        <w:t xml:space="preserve">למשכורת </w:t>
      </w:r>
      <w:r w:rsidR="004D6EEA" w:rsidRPr="004D6EEA">
        <w:rPr>
          <w:rFonts w:ascii="David" w:eastAsia="Calibri" w:hAnsi="David" w:hint="cs"/>
          <w:noProof w:val="0"/>
          <w:rtl/>
        </w:rPr>
        <w:t xml:space="preserve">הקובעת </w:t>
      </w:r>
      <w:r w:rsidR="00EE7A38" w:rsidRPr="004D6EEA">
        <w:rPr>
          <w:rFonts w:ascii="David" w:eastAsia="Calibri" w:hAnsi="David" w:hint="cs"/>
          <w:noProof w:val="0"/>
          <w:rtl/>
        </w:rPr>
        <w:t>על פיה ייערך התחשיב ביניהם</w:t>
      </w:r>
      <w:r w:rsidR="00A067BF" w:rsidRPr="004D6EEA">
        <w:rPr>
          <w:rFonts w:ascii="David" w:eastAsia="Calibri" w:hAnsi="David" w:hint="cs"/>
          <w:noProof w:val="0"/>
          <w:rtl/>
        </w:rPr>
        <w:t xml:space="preserve"> בכל הנוגע להיוון הזכויות העתידיות</w:t>
      </w:r>
      <w:r w:rsidR="00744759" w:rsidRPr="004D6EEA">
        <w:rPr>
          <w:rFonts w:ascii="David" w:eastAsia="Calibri" w:hAnsi="David" w:hint="cs"/>
          <w:noProof w:val="0"/>
          <w:rtl/>
        </w:rPr>
        <w:t>;</w:t>
      </w:r>
      <w:r w:rsidR="00A067BF" w:rsidRPr="004D6EEA">
        <w:rPr>
          <w:rFonts w:ascii="David" w:eastAsia="Calibri" w:hAnsi="David" w:hint="cs"/>
          <w:noProof w:val="0"/>
          <w:rtl/>
        </w:rPr>
        <w:t xml:space="preserve"> </w:t>
      </w:r>
      <w:r w:rsidR="00D92179">
        <w:rPr>
          <w:rFonts w:ascii="David" w:eastAsia="Calibri" w:hAnsi="David" w:hint="cs"/>
          <w:noProof w:val="0"/>
          <w:rtl/>
        </w:rPr>
        <w:t xml:space="preserve">אולם, </w:t>
      </w:r>
      <w:r w:rsidR="00957D64">
        <w:rPr>
          <w:rFonts w:ascii="David" w:eastAsia="Calibri" w:hAnsi="David" w:hint="cs"/>
          <w:noProof w:val="0"/>
          <w:rtl/>
        </w:rPr>
        <w:t>קבעו כי האקטואר יערוך היוון.</w:t>
      </w:r>
    </w:p>
    <w:p w:rsidR="00957D64" w:rsidRPr="00957D64" w:rsidRDefault="00957D64" w:rsidP="00957D64">
      <w:pPr>
        <w:pStyle w:val="ad"/>
        <w:rPr>
          <w:rFonts w:ascii="David" w:eastAsia="Calibri" w:hAnsi="David"/>
          <w:noProof w:val="0"/>
          <w:rtl/>
        </w:rPr>
      </w:pPr>
    </w:p>
    <w:p w:rsidR="00B7759D" w:rsidRDefault="00B55D43" w:rsidP="00B7759D">
      <w:pPr>
        <w:numPr>
          <w:ilvl w:val="0"/>
          <w:numId w:val="1"/>
        </w:numPr>
        <w:spacing w:after="160" w:line="360" w:lineRule="auto"/>
        <w:contextualSpacing/>
        <w:jc w:val="both"/>
        <w:rPr>
          <w:rFonts w:ascii="David" w:eastAsia="Calibri" w:hAnsi="David"/>
          <w:noProof w:val="0"/>
        </w:rPr>
      </w:pPr>
      <w:r w:rsidRPr="00F04940">
        <w:rPr>
          <w:rFonts w:ascii="David" w:eastAsia="Calibri" w:hAnsi="David" w:hint="cs"/>
          <w:noProof w:val="0"/>
          <w:rtl/>
        </w:rPr>
        <w:t xml:space="preserve">דומה כי עצם הסכמת הצדדים לאזן את זכויות הפנסיה בדרך של </w:t>
      </w:r>
      <w:r w:rsidRPr="00F04940">
        <w:rPr>
          <w:rFonts w:ascii="David" w:eastAsia="Calibri" w:hAnsi="David" w:hint="cs"/>
          <w:b/>
          <w:bCs/>
          <w:noProof w:val="0"/>
          <w:rtl/>
        </w:rPr>
        <w:t xml:space="preserve">היוון, </w:t>
      </w:r>
      <w:r w:rsidRPr="00F04940">
        <w:rPr>
          <w:rFonts w:ascii="David" w:eastAsia="Calibri" w:hAnsi="David" w:hint="cs"/>
          <w:noProof w:val="0"/>
          <w:rtl/>
        </w:rPr>
        <w:t xml:space="preserve">שמשמעותו כאמור הערכה </w:t>
      </w:r>
      <w:r w:rsidRPr="00F04940">
        <w:rPr>
          <w:rFonts w:ascii="David" w:eastAsia="Calibri" w:hAnsi="David" w:hint="cs"/>
          <w:b/>
          <w:bCs/>
          <w:noProof w:val="0"/>
          <w:rtl/>
        </w:rPr>
        <w:t xml:space="preserve">נכון להיום </w:t>
      </w:r>
      <w:r w:rsidRPr="00F04940">
        <w:rPr>
          <w:rFonts w:ascii="David" w:eastAsia="Calibri" w:hAnsi="David" w:hint="cs"/>
          <w:noProof w:val="0"/>
          <w:rtl/>
        </w:rPr>
        <w:t xml:space="preserve">של זכות </w:t>
      </w:r>
      <w:r w:rsidRPr="00F04940">
        <w:rPr>
          <w:rFonts w:ascii="Arial" w:hAnsi="Arial" w:hint="cs"/>
          <w:noProof w:val="0"/>
          <w:rtl/>
        </w:rPr>
        <w:t xml:space="preserve">עתידית על מנת לסיים את ההתחשבנויות בין הצדדים </w:t>
      </w:r>
      <w:r w:rsidRPr="00F04940">
        <w:rPr>
          <w:rFonts w:ascii="Arial" w:hAnsi="Arial" w:hint="cs"/>
          <w:b/>
          <w:bCs/>
          <w:noProof w:val="0"/>
          <w:rtl/>
        </w:rPr>
        <w:t>על אתר,</w:t>
      </w:r>
      <w:r w:rsidRPr="00F04940">
        <w:rPr>
          <w:rFonts w:ascii="Arial" w:hAnsi="Arial" w:hint="cs"/>
          <w:noProof w:val="0"/>
          <w:rtl/>
        </w:rPr>
        <w:t xml:space="preserve">  </w:t>
      </w:r>
      <w:r w:rsidR="00A06189" w:rsidRPr="00F04940">
        <w:rPr>
          <w:rFonts w:ascii="David" w:eastAsia="Calibri" w:hAnsi="David" w:hint="cs"/>
          <w:noProof w:val="0"/>
          <w:rtl/>
        </w:rPr>
        <w:t>מלמדת</w:t>
      </w:r>
      <w:r w:rsidR="00A06189" w:rsidRPr="00F04940">
        <w:rPr>
          <w:rFonts w:ascii="David" w:eastAsia="Calibri" w:hAnsi="David" w:hint="cs"/>
          <w:b/>
          <w:bCs/>
          <w:noProof w:val="0"/>
          <w:rtl/>
        </w:rPr>
        <w:t xml:space="preserve"> </w:t>
      </w:r>
      <w:r w:rsidR="00A06189" w:rsidRPr="00F04940">
        <w:rPr>
          <w:rFonts w:ascii="David" w:eastAsia="Calibri" w:hAnsi="David" w:hint="cs"/>
          <w:noProof w:val="0"/>
          <w:rtl/>
        </w:rPr>
        <w:t xml:space="preserve">על אומד דעתם </w:t>
      </w:r>
      <w:r w:rsidR="00F04940" w:rsidRPr="00F04940">
        <w:rPr>
          <w:rFonts w:ascii="David" w:eastAsia="Calibri" w:hAnsi="David" w:hint="cs"/>
          <w:noProof w:val="0"/>
          <w:rtl/>
        </w:rPr>
        <w:t xml:space="preserve">של הצדדים </w:t>
      </w:r>
      <w:r w:rsidRPr="00F04940">
        <w:rPr>
          <w:rFonts w:ascii="David" w:eastAsia="Calibri" w:hAnsi="David" w:hint="cs"/>
          <w:noProof w:val="0"/>
          <w:rtl/>
        </w:rPr>
        <w:t xml:space="preserve">להתחשב במשכורת </w:t>
      </w:r>
      <w:r w:rsidR="00A06189" w:rsidRPr="00F04940">
        <w:rPr>
          <w:rFonts w:ascii="David" w:eastAsia="Calibri" w:hAnsi="David" w:hint="cs"/>
          <w:noProof w:val="0"/>
          <w:rtl/>
        </w:rPr>
        <w:t xml:space="preserve">במועד </w:t>
      </w:r>
      <w:r w:rsidR="00F04940" w:rsidRPr="00F04940">
        <w:rPr>
          <w:rFonts w:ascii="David" w:eastAsia="Calibri" w:hAnsi="David" w:hint="cs"/>
          <w:noProof w:val="0"/>
          <w:rtl/>
        </w:rPr>
        <w:t xml:space="preserve">הפירוד </w:t>
      </w:r>
      <w:r w:rsidRPr="00F04940">
        <w:rPr>
          <w:rFonts w:ascii="David" w:eastAsia="Calibri" w:hAnsi="David" w:hint="cs"/>
          <w:noProof w:val="0"/>
          <w:rtl/>
        </w:rPr>
        <w:t>כמשכורת הקובעת לצורך איזון הזכויות</w:t>
      </w:r>
      <w:r w:rsidR="007F29F6">
        <w:rPr>
          <w:rFonts w:ascii="David" w:eastAsia="Calibri" w:hAnsi="David" w:hint="cs"/>
          <w:noProof w:val="0"/>
          <w:rtl/>
        </w:rPr>
        <w:t>, במצב בו על פניו טרם ידועה המשכורת בעת הפרישה העתידית לאשורה</w:t>
      </w:r>
      <w:r w:rsidR="00F04940" w:rsidRPr="00F04940">
        <w:rPr>
          <w:rFonts w:ascii="David" w:eastAsia="Calibri" w:hAnsi="David" w:hint="cs"/>
          <w:noProof w:val="0"/>
          <w:rtl/>
        </w:rPr>
        <w:t>.</w:t>
      </w:r>
    </w:p>
    <w:p w:rsidR="00B7759D" w:rsidRDefault="00B7759D" w:rsidP="00B7759D">
      <w:pPr>
        <w:pStyle w:val="ad"/>
        <w:rPr>
          <w:rFonts w:ascii="David" w:eastAsia="Calibri" w:hAnsi="David"/>
          <w:noProof w:val="0"/>
          <w:rtl/>
        </w:rPr>
      </w:pPr>
    </w:p>
    <w:p w:rsidR="00B7759D" w:rsidRDefault="00B7759D" w:rsidP="00B7759D">
      <w:pPr>
        <w:numPr>
          <w:ilvl w:val="0"/>
          <w:numId w:val="1"/>
        </w:numPr>
        <w:spacing w:after="160" w:line="360" w:lineRule="auto"/>
        <w:contextualSpacing/>
        <w:jc w:val="both"/>
        <w:rPr>
          <w:rFonts w:ascii="David" w:eastAsia="Calibri" w:hAnsi="David"/>
          <w:noProof w:val="0"/>
        </w:rPr>
      </w:pPr>
      <w:r w:rsidRPr="00B7759D">
        <w:rPr>
          <w:rFonts w:ascii="David" w:eastAsia="Calibri" w:hAnsi="David" w:hint="cs"/>
          <w:noProof w:val="0"/>
          <w:rtl/>
        </w:rPr>
        <w:lastRenderedPageBreak/>
        <w:t xml:space="preserve">אף בעמ"ש </w:t>
      </w:r>
      <w:r w:rsidRPr="00B7759D">
        <w:rPr>
          <w:rFonts w:ascii="David" w:eastAsia="Calibri" w:hAnsi="David"/>
          <w:noProof w:val="0"/>
          <w:rtl/>
        </w:rPr>
        <w:t xml:space="preserve">3069-05-10 </w:t>
      </w:r>
      <w:r w:rsidRPr="00B7759D">
        <w:rPr>
          <w:rFonts w:ascii="David" w:eastAsia="Calibri" w:hAnsi="David" w:hint="cs"/>
          <w:noProof w:val="0"/>
          <w:rtl/>
        </w:rPr>
        <w:t xml:space="preserve">הנ"ל אליו הפנתה התובעת לעניין זה, ניתן לראות כי כבוד השופט שנלר הבחין בין מקרה של איזון עתידי לבין מקרה של </w:t>
      </w:r>
      <w:r w:rsidRPr="00B7759D">
        <w:rPr>
          <w:rFonts w:ascii="David" w:eastAsia="Calibri" w:hAnsi="David" w:hint="cs"/>
          <w:b/>
          <w:bCs/>
          <w:noProof w:val="0"/>
          <w:rtl/>
        </w:rPr>
        <w:t>היוון הזכויות</w:t>
      </w:r>
      <w:r w:rsidRPr="00B7759D">
        <w:rPr>
          <w:rFonts w:ascii="David" w:eastAsia="Calibri" w:hAnsi="David" w:hint="cs"/>
          <w:noProof w:val="0"/>
          <w:rtl/>
        </w:rPr>
        <w:t xml:space="preserve">, אז מתקבל הסכום באופן מיידי, ובמקרה זה, לדידו , סביר כי יערך החישוב על פי המשכורת כפי שהיתה </w:t>
      </w:r>
      <w:r w:rsidRPr="00B7759D">
        <w:rPr>
          <w:rFonts w:ascii="David" w:eastAsia="Calibri" w:hAnsi="David" w:hint="cs"/>
          <w:b/>
          <w:bCs/>
          <w:noProof w:val="0"/>
          <w:rtl/>
        </w:rPr>
        <w:t>בעת מועד הקרע</w:t>
      </w:r>
      <w:r w:rsidRPr="00B7759D">
        <w:rPr>
          <w:rFonts w:ascii="David" w:eastAsia="Calibri" w:hAnsi="David" w:hint="cs"/>
          <w:noProof w:val="0"/>
          <w:rtl/>
        </w:rPr>
        <w:t>.</w:t>
      </w:r>
    </w:p>
    <w:p w:rsidR="00B46C83" w:rsidRDefault="00B46C83" w:rsidP="00B46C83">
      <w:pPr>
        <w:pStyle w:val="ad"/>
        <w:rPr>
          <w:rFonts w:ascii="David" w:eastAsia="Calibri" w:hAnsi="David"/>
          <w:noProof w:val="0"/>
          <w:rtl/>
        </w:rPr>
      </w:pPr>
    </w:p>
    <w:p w:rsidR="00B46C83" w:rsidRPr="00B46C83" w:rsidRDefault="00B46C83" w:rsidP="00B46C83">
      <w:pPr>
        <w:pStyle w:val="ad"/>
        <w:numPr>
          <w:ilvl w:val="0"/>
          <w:numId w:val="1"/>
        </w:numPr>
        <w:spacing w:after="160" w:line="360" w:lineRule="auto"/>
        <w:jc w:val="both"/>
        <w:rPr>
          <w:rFonts w:ascii="David" w:eastAsia="Calibri" w:hAnsi="David"/>
          <w:noProof w:val="0"/>
        </w:rPr>
      </w:pPr>
      <w:r>
        <w:rPr>
          <w:rFonts w:ascii="David" w:eastAsia="Calibri" w:hAnsi="David" w:hint="cs"/>
          <w:noProof w:val="0"/>
          <w:rtl/>
        </w:rPr>
        <w:t xml:space="preserve">יובהר כי </w:t>
      </w:r>
      <w:r w:rsidRPr="00B46C83">
        <w:rPr>
          <w:rFonts w:ascii="David" w:eastAsia="Calibri" w:hAnsi="David" w:hint="cs"/>
          <w:noProof w:val="0"/>
          <w:rtl/>
        </w:rPr>
        <w:t xml:space="preserve">בעניינו, המומחה נתן ביטוי לשינויים שחלו במשכורת, עת חישב את חלקה של התובעת נכון למועד הפירוד תוך שהבהיר בחוות דעתו כי "ממועד הקרע ועד היום חלו שינויים בשווי הנכסים וההפרש להעברה ישא הצמדה/ריבית והצמדה ע"פ החלטת בימ"ש" (עמ' 5 לחווה"ד). </w:t>
      </w:r>
    </w:p>
    <w:p w:rsidR="00B46C83" w:rsidRPr="00B46C83" w:rsidRDefault="00B46C83" w:rsidP="00B46C83">
      <w:pPr>
        <w:pStyle w:val="ad"/>
        <w:rPr>
          <w:rFonts w:ascii="David" w:eastAsia="Calibri" w:hAnsi="David"/>
          <w:noProof w:val="0"/>
          <w:rtl/>
        </w:rPr>
      </w:pPr>
    </w:p>
    <w:p w:rsidR="00B46C83" w:rsidRPr="00B46C83" w:rsidRDefault="00B46C83" w:rsidP="00B46C83">
      <w:pPr>
        <w:pStyle w:val="ad"/>
        <w:numPr>
          <w:ilvl w:val="0"/>
          <w:numId w:val="1"/>
        </w:numPr>
        <w:spacing w:after="160" w:line="360" w:lineRule="auto"/>
        <w:jc w:val="both"/>
        <w:rPr>
          <w:rFonts w:ascii="David" w:eastAsia="Calibri" w:hAnsi="David"/>
          <w:noProof w:val="0"/>
        </w:rPr>
      </w:pPr>
      <w:r w:rsidRPr="00B46C83">
        <w:rPr>
          <w:rFonts w:ascii="David" w:eastAsia="Calibri" w:hAnsi="David" w:hint="cs"/>
          <w:noProof w:val="0"/>
          <w:rtl/>
        </w:rPr>
        <w:t>כך אישר המומחה את הדברים גם בחקירתו עת נשאל האם "כדי לכפות על פער הזמנים בין מועד הקרע לבין מועד פס"ד לבין עריכת חוו"ד שלך מוסיפים הפרשי הצמדה או הפרשי הצמדה וריבית כדין כפי שנכתב בסיפא של חו"ד?"- המומחה השיב לכך "כן". (עמ' 32 שו' 24-6 לפרוט').</w:t>
      </w:r>
    </w:p>
    <w:p w:rsidR="00B7759D" w:rsidRDefault="00B7759D" w:rsidP="00B7759D">
      <w:pPr>
        <w:pStyle w:val="ad"/>
        <w:rPr>
          <w:rFonts w:ascii="David" w:eastAsia="Calibri" w:hAnsi="David"/>
          <w:noProof w:val="0"/>
          <w:rtl/>
        </w:rPr>
      </w:pPr>
    </w:p>
    <w:p w:rsidR="00B7759D" w:rsidRDefault="00B46C83" w:rsidP="00B46C83">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לעניין</w:t>
      </w:r>
      <w:r w:rsidR="004C398C" w:rsidRPr="00B7759D">
        <w:rPr>
          <w:rFonts w:ascii="David" w:eastAsia="Calibri" w:hAnsi="David" w:hint="cs"/>
          <w:noProof w:val="0"/>
          <w:rtl/>
        </w:rPr>
        <w:t xml:space="preserve"> </w:t>
      </w:r>
      <w:r w:rsidR="00752B49" w:rsidRPr="00B7759D">
        <w:rPr>
          <w:rFonts w:ascii="David" w:eastAsia="Calibri" w:hAnsi="David" w:hint="cs"/>
          <w:noProof w:val="0"/>
          <w:rtl/>
        </w:rPr>
        <w:t xml:space="preserve">עתירתה החלופית של הנתבעת לערוך את החישוב נכון </w:t>
      </w:r>
      <w:r w:rsidR="00752B49" w:rsidRPr="00B7759D">
        <w:rPr>
          <w:rFonts w:ascii="David" w:eastAsia="Calibri" w:hAnsi="David" w:hint="cs"/>
          <w:b/>
          <w:bCs/>
          <w:noProof w:val="0"/>
          <w:rtl/>
        </w:rPr>
        <w:t>למשכורת הידועה בעת עריכת חוות הדעת</w:t>
      </w:r>
      <w:r w:rsidR="004C398C" w:rsidRPr="00B7759D">
        <w:rPr>
          <w:rFonts w:ascii="David" w:eastAsia="Calibri" w:hAnsi="David" w:hint="cs"/>
          <w:noProof w:val="0"/>
          <w:rtl/>
        </w:rPr>
        <w:t xml:space="preserve">, </w:t>
      </w:r>
      <w:r w:rsidR="00752B49" w:rsidRPr="00B7759D">
        <w:rPr>
          <w:rFonts w:ascii="David" w:eastAsia="Calibri" w:hAnsi="David" w:hint="cs"/>
          <w:noProof w:val="0"/>
          <w:rtl/>
        </w:rPr>
        <w:t>לא המציאה הנתבעת סימוכין</w:t>
      </w:r>
      <w:r w:rsidR="000E3584" w:rsidRPr="00B7759D">
        <w:rPr>
          <w:rFonts w:ascii="David" w:eastAsia="Calibri" w:hAnsi="David" w:hint="cs"/>
          <w:noProof w:val="0"/>
          <w:rtl/>
        </w:rPr>
        <w:t xml:space="preserve"> כלשהם מהפסיקה; </w:t>
      </w:r>
    </w:p>
    <w:p w:rsidR="00B7759D" w:rsidRPr="00B46C83" w:rsidRDefault="00B7759D" w:rsidP="00B7759D">
      <w:pPr>
        <w:pStyle w:val="ad"/>
        <w:rPr>
          <w:rFonts w:ascii="David" w:eastAsia="Calibri" w:hAnsi="David"/>
          <w:noProof w:val="0"/>
          <w:rtl/>
        </w:rPr>
      </w:pPr>
    </w:p>
    <w:p w:rsidR="00015F37" w:rsidRPr="00B46C83" w:rsidRDefault="00F33BBE" w:rsidP="00B46C83">
      <w:pPr>
        <w:numPr>
          <w:ilvl w:val="0"/>
          <w:numId w:val="1"/>
        </w:numPr>
        <w:spacing w:after="160" w:line="360" w:lineRule="auto"/>
        <w:contextualSpacing/>
        <w:jc w:val="both"/>
        <w:rPr>
          <w:rFonts w:ascii="David" w:eastAsia="Calibri" w:hAnsi="David"/>
          <w:noProof w:val="0"/>
        </w:rPr>
      </w:pPr>
      <w:r w:rsidRPr="00B46C83">
        <w:rPr>
          <w:rFonts w:ascii="David" w:eastAsia="Calibri" w:hAnsi="David" w:hint="cs"/>
          <w:noProof w:val="0"/>
          <w:rtl/>
        </w:rPr>
        <w:t xml:space="preserve">הפסיקה אליה הפנתה התובעת בסיכומיה ובסיכומי התשובה מטעמה </w:t>
      </w:r>
      <w:r w:rsidR="00015F37" w:rsidRPr="00B46C83">
        <w:rPr>
          <w:rFonts w:ascii="David" w:eastAsia="Calibri" w:hAnsi="David" w:hint="cs"/>
          <w:b/>
          <w:bCs/>
          <w:noProof w:val="0"/>
          <w:rtl/>
        </w:rPr>
        <w:t>אינה</w:t>
      </w:r>
      <w:r w:rsidR="00015F37" w:rsidRPr="00B46C83">
        <w:rPr>
          <w:rFonts w:ascii="David" w:eastAsia="Calibri" w:hAnsi="David" w:hint="cs"/>
          <w:noProof w:val="0"/>
          <w:rtl/>
        </w:rPr>
        <w:t xml:space="preserve"> מלמדת </w:t>
      </w:r>
      <w:r w:rsidRPr="00B46C83">
        <w:rPr>
          <w:rFonts w:ascii="David" w:eastAsia="Calibri" w:hAnsi="David" w:hint="cs"/>
          <w:noProof w:val="0"/>
          <w:rtl/>
        </w:rPr>
        <w:t xml:space="preserve">את שמבקשת התובעת להסיק ממנה </w:t>
      </w:r>
      <w:r w:rsidRPr="00B46C83">
        <w:rPr>
          <w:rFonts w:ascii="David" w:eastAsia="Calibri" w:hAnsi="David"/>
          <w:noProof w:val="0"/>
          <w:rtl/>
        </w:rPr>
        <w:t>–</w:t>
      </w:r>
      <w:r w:rsidRPr="00B46C83">
        <w:rPr>
          <w:rFonts w:ascii="David" w:eastAsia="Calibri" w:hAnsi="David" w:hint="cs"/>
          <w:noProof w:val="0"/>
          <w:rtl/>
        </w:rPr>
        <w:t xml:space="preserve"> כי יש לחשב הזכויות בהתאם למשכורת הידועה היום, היינו נכון למשכורת במועד הגשת חוות הדעת, אלא </w:t>
      </w:r>
      <w:r w:rsidR="00015F37" w:rsidRPr="00B46C83">
        <w:rPr>
          <w:rFonts w:ascii="David" w:eastAsia="Calibri" w:hAnsi="David" w:hint="cs"/>
          <w:noProof w:val="0"/>
          <w:rtl/>
        </w:rPr>
        <w:t xml:space="preserve">על פי המשכורת </w:t>
      </w:r>
      <w:r w:rsidR="002E0569" w:rsidRPr="00B46C83">
        <w:rPr>
          <w:rFonts w:ascii="David" w:eastAsia="Calibri" w:hAnsi="David" w:hint="cs"/>
          <w:b/>
          <w:bCs/>
          <w:noProof w:val="0"/>
          <w:rtl/>
        </w:rPr>
        <w:t>בעת הפרישה</w:t>
      </w:r>
      <w:r w:rsidR="00015F37" w:rsidRPr="00B46C83">
        <w:rPr>
          <w:rFonts w:ascii="David" w:eastAsia="Calibri" w:hAnsi="David" w:hint="cs"/>
          <w:noProof w:val="0"/>
          <w:rtl/>
        </w:rPr>
        <w:t xml:space="preserve">, </w:t>
      </w:r>
      <w:r w:rsidR="00015F37" w:rsidRPr="00B46C83">
        <w:rPr>
          <w:rFonts w:ascii="David" w:eastAsia="Calibri" w:hAnsi="David" w:hint="cs"/>
          <w:noProof w:val="0"/>
          <w:rtl/>
        </w:rPr>
        <w:lastRenderedPageBreak/>
        <w:t>כאשר בן הזוג לשעבר יהיה זכאי "</w:t>
      </w:r>
      <w:r w:rsidR="00015F37" w:rsidRPr="00B46C83">
        <w:rPr>
          <w:rFonts w:ascii="David" w:eastAsia="Calibri" w:hAnsi="David" w:hint="cs"/>
          <w:b/>
          <w:bCs/>
          <w:noProof w:val="0"/>
          <w:rtl/>
        </w:rPr>
        <w:t>לפירות שיצטברו....עד למועד גמילת הזכויות</w:t>
      </w:r>
      <w:r w:rsidR="00015F37" w:rsidRPr="00B46C83">
        <w:rPr>
          <w:rFonts w:ascii="David" w:eastAsia="Calibri" w:hAnsi="David" w:hint="cs"/>
          <w:noProof w:val="0"/>
          <w:rtl/>
        </w:rPr>
        <w:t>" (ראו פסק דינו של כב' השופט רובינשטיין בע"מ 4860/16, אליו הפנתה התובעת עצמה).</w:t>
      </w:r>
    </w:p>
    <w:p w:rsidR="00B7759D" w:rsidRPr="00B46C83" w:rsidRDefault="00B7759D" w:rsidP="00B7759D">
      <w:pPr>
        <w:pStyle w:val="ad"/>
        <w:rPr>
          <w:rFonts w:ascii="David" w:eastAsia="Calibri" w:hAnsi="David"/>
          <w:noProof w:val="0"/>
          <w:rtl/>
        </w:rPr>
      </w:pPr>
    </w:p>
    <w:p w:rsidR="004F2AF5" w:rsidRPr="0029640A" w:rsidRDefault="0029640A" w:rsidP="000D414A">
      <w:pPr>
        <w:pStyle w:val="ad"/>
        <w:numPr>
          <w:ilvl w:val="0"/>
          <w:numId w:val="1"/>
        </w:numPr>
        <w:spacing w:after="160" w:line="360" w:lineRule="auto"/>
        <w:jc w:val="both"/>
        <w:rPr>
          <w:rFonts w:ascii="David" w:eastAsia="Calibri" w:hAnsi="David"/>
          <w:noProof w:val="0"/>
        </w:rPr>
      </w:pPr>
      <w:r>
        <w:rPr>
          <w:rFonts w:ascii="David" w:eastAsia="Calibri" w:hAnsi="David" w:hint="cs"/>
          <w:noProof w:val="0"/>
          <w:rtl/>
        </w:rPr>
        <w:t>מכל מקום, במקרה דנן</w:t>
      </w:r>
      <w:r w:rsidR="00A20B2B" w:rsidRPr="0029640A">
        <w:rPr>
          <w:rFonts w:ascii="David" w:eastAsia="Calibri" w:hAnsi="David" w:hint="cs"/>
          <w:noProof w:val="0"/>
          <w:rtl/>
        </w:rPr>
        <w:t>,</w:t>
      </w:r>
      <w:r w:rsidR="00F27F40" w:rsidRPr="0029640A">
        <w:rPr>
          <w:rFonts w:ascii="David" w:eastAsia="Calibri" w:hAnsi="David" w:hint="cs"/>
          <w:noProof w:val="0"/>
          <w:rtl/>
        </w:rPr>
        <w:t xml:space="preserve"> הבהיר</w:t>
      </w:r>
      <w:r>
        <w:rPr>
          <w:rFonts w:ascii="David" w:eastAsia="Calibri" w:hAnsi="David" w:hint="cs"/>
          <w:noProof w:val="0"/>
          <w:rtl/>
        </w:rPr>
        <w:t xml:space="preserve"> המומחה</w:t>
      </w:r>
      <w:r w:rsidR="00F27F40" w:rsidRPr="0029640A">
        <w:rPr>
          <w:rFonts w:ascii="David" w:eastAsia="Calibri" w:hAnsi="David" w:hint="cs"/>
          <w:noProof w:val="0"/>
          <w:rtl/>
        </w:rPr>
        <w:t xml:space="preserve"> כי</w:t>
      </w:r>
      <w:r w:rsidR="007A1937" w:rsidRPr="0029640A">
        <w:rPr>
          <w:rFonts w:ascii="David" w:eastAsia="Calibri" w:hAnsi="David" w:hint="cs"/>
          <w:noProof w:val="0"/>
          <w:rtl/>
        </w:rPr>
        <w:t xml:space="preserve"> בעניינינו</w:t>
      </w:r>
      <w:r w:rsidR="00F27F40" w:rsidRPr="0029640A">
        <w:rPr>
          <w:rFonts w:ascii="David" w:eastAsia="Calibri" w:hAnsi="David" w:hint="cs"/>
          <w:noProof w:val="0"/>
          <w:rtl/>
        </w:rPr>
        <w:t xml:space="preserve"> </w:t>
      </w:r>
      <w:r w:rsidR="00F27F40" w:rsidRPr="0029640A">
        <w:rPr>
          <w:rFonts w:ascii="David" w:eastAsia="Calibri" w:hAnsi="David" w:hint="cs"/>
          <w:b/>
          <w:bCs/>
          <w:noProof w:val="0"/>
          <w:rtl/>
        </w:rPr>
        <w:t>אין נפקות משמעותית</w:t>
      </w:r>
      <w:r w:rsidR="00F27F40" w:rsidRPr="0029640A">
        <w:rPr>
          <w:rFonts w:ascii="David" w:eastAsia="Calibri" w:hAnsi="David" w:hint="cs"/>
          <w:noProof w:val="0"/>
          <w:rtl/>
        </w:rPr>
        <w:t xml:space="preserve"> </w:t>
      </w:r>
      <w:r w:rsidR="00986115" w:rsidRPr="0029640A">
        <w:rPr>
          <w:rFonts w:ascii="David" w:eastAsia="Calibri" w:hAnsi="David" w:hint="cs"/>
          <w:noProof w:val="0"/>
          <w:rtl/>
        </w:rPr>
        <w:t>לבחירה האם החישוב יערך על פי המשכורת הידועה בעת מועד הפירוד או במועד עריכת חוות הדעת</w:t>
      </w:r>
      <w:r w:rsidR="00F27F40" w:rsidRPr="0029640A">
        <w:rPr>
          <w:rFonts w:ascii="David" w:eastAsia="Calibri" w:hAnsi="David" w:hint="cs"/>
          <w:noProof w:val="0"/>
          <w:rtl/>
        </w:rPr>
        <w:t xml:space="preserve">; </w:t>
      </w:r>
    </w:p>
    <w:p w:rsidR="004F2AF5" w:rsidRPr="004F2AF5" w:rsidRDefault="004F2AF5" w:rsidP="004F2AF5">
      <w:pPr>
        <w:pStyle w:val="ad"/>
        <w:rPr>
          <w:rFonts w:ascii="David" w:eastAsia="Calibri" w:hAnsi="David"/>
          <w:noProof w:val="0"/>
          <w:rtl/>
        </w:rPr>
      </w:pPr>
    </w:p>
    <w:p w:rsidR="004F2AF5" w:rsidRDefault="00752B49" w:rsidP="004F2AF5">
      <w:pPr>
        <w:pStyle w:val="ad"/>
        <w:numPr>
          <w:ilvl w:val="0"/>
          <w:numId w:val="1"/>
        </w:numPr>
        <w:spacing w:after="160" w:line="360" w:lineRule="auto"/>
        <w:jc w:val="both"/>
        <w:rPr>
          <w:rFonts w:ascii="David" w:eastAsia="Calibri" w:hAnsi="David"/>
          <w:noProof w:val="0"/>
        </w:rPr>
      </w:pPr>
      <w:r w:rsidRPr="004F2AF5">
        <w:rPr>
          <w:rFonts w:ascii="David" w:eastAsia="Calibri" w:hAnsi="David" w:hint="cs"/>
          <w:noProof w:val="0"/>
          <w:rtl/>
        </w:rPr>
        <w:t>בתשובת</w:t>
      </w:r>
      <w:r w:rsidR="00F27F40" w:rsidRPr="004F2AF5">
        <w:rPr>
          <w:rFonts w:ascii="David" w:eastAsia="Calibri" w:hAnsi="David" w:hint="cs"/>
          <w:noProof w:val="0"/>
          <w:rtl/>
        </w:rPr>
        <w:t xml:space="preserve">ו </w:t>
      </w:r>
      <w:r w:rsidR="006C42A3" w:rsidRPr="004F2AF5">
        <w:rPr>
          <w:rFonts w:ascii="David" w:eastAsia="Calibri" w:hAnsi="David"/>
          <w:noProof w:val="0"/>
          <w:rtl/>
        </w:rPr>
        <w:t xml:space="preserve">לשאלת הבהרה מס' 1 ציין כי "לשני הצדדים יש גמלה ממקומות ציבוריים בסכום דומה (בעל 1.5 מ' ₪, אישה 1.6 מ' ₪) חלים עליהם תוספות יוקר דומות אזי </w:t>
      </w:r>
      <w:r w:rsidR="006C42A3" w:rsidRPr="004F2AF5">
        <w:rPr>
          <w:rFonts w:ascii="David" w:eastAsia="Calibri" w:hAnsi="David"/>
          <w:b/>
          <w:bCs/>
          <w:noProof w:val="0"/>
          <w:rtl/>
        </w:rPr>
        <w:t>גם בחלופת היוון ליום הקרע בו יש קיזוז הדדי אין הבדל משמעותי בקביעת שווי הגמלה של כל אחד מהצדדים לעומת חישוב הגמלה ליום חוות הדעת</w:t>
      </w:r>
      <w:r w:rsidR="006C42A3" w:rsidRPr="004F2AF5">
        <w:rPr>
          <w:rFonts w:ascii="David" w:eastAsia="Calibri" w:hAnsi="David"/>
          <w:noProof w:val="0"/>
          <w:rtl/>
        </w:rPr>
        <w:t xml:space="preserve">". </w:t>
      </w:r>
    </w:p>
    <w:p w:rsidR="004F2AF5" w:rsidRPr="004F2AF5" w:rsidRDefault="004F2AF5" w:rsidP="004F2AF5">
      <w:pPr>
        <w:pStyle w:val="ad"/>
        <w:rPr>
          <w:rFonts w:ascii="David" w:eastAsia="Calibri" w:hAnsi="David"/>
          <w:noProof w:val="0"/>
          <w:rtl/>
        </w:rPr>
      </w:pPr>
    </w:p>
    <w:p w:rsidR="001956B0" w:rsidRDefault="006C42A3" w:rsidP="004F2AF5">
      <w:pPr>
        <w:pStyle w:val="ad"/>
        <w:numPr>
          <w:ilvl w:val="0"/>
          <w:numId w:val="1"/>
        </w:numPr>
        <w:spacing w:after="160" w:line="360" w:lineRule="auto"/>
        <w:jc w:val="both"/>
        <w:rPr>
          <w:rFonts w:ascii="David" w:eastAsia="Calibri" w:hAnsi="David"/>
          <w:noProof w:val="0"/>
        </w:rPr>
      </w:pPr>
      <w:r w:rsidRPr="004F2AF5">
        <w:rPr>
          <w:rFonts w:ascii="David" w:eastAsia="Calibri" w:hAnsi="David" w:hint="cs"/>
          <w:noProof w:val="0"/>
          <w:rtl/>
        </w:rPr>
        <w:t xml:space="preserve">בחקירתו, </w:t>
      </w:r>
      <w:r w:rsidR="001956B0" w:rsidRPr="004F2AF5">
        <w:rPr>
          <w:rFonts w:ascii="David" w:eastAsia="Calibri" w:hAnsi="David"/>
          <w:noProof w:val="0"/>
          <w:rtl/>
        </w:rPr>
        <w:t xml:space="preserve">העיד </w:t>
      </w:r>
      <w:r w:rsidRPr="004F2AF5">
        <w:rPr>
          <w:rFonts w:ascii="David" w:eastAsia="Calibri" w:hAnsi="David" w:hint="cs"/>
          <w:noProof w:val="0"/>
          <w:rtl/>
        </w:rPr>
        <w:t xml:space="preserve">המומחה </w:t>
      </w:r>
      <w:r w:rsidR="00D1080B" w:rsidRPr="004F2AF5">
        <w:rPr>
          <w:rFonts w:ascii="David" w:eastAsia="Calibri" w:hAnsi="David" w:hint="cs"/>
          <w:noProof w:val="0"/>
          <w:rtl/>
        </w:rPr>
        <w:t xml:space="preserve">באופן דומה, </w:t>
      </w:r>
      <w:r w:rsidR="001956B0" w:rsidRPr="004F2AF5">
        <w:rPr>
          <w:rFonts w:ascii="David" w:eastAsia="Calibri" w:hAnsi="David"/>
          <w:noProof w:val="0"/>
          <w:rtl/>
        </w:rPr>
        <w:t>כי: "</w:t>
      </w:r>
      <w:r w:rsidR="001956B0" w:rsidRPr="004F2AF5">
        <w:rPr>
          <w:rFonts w:ascii="David" w:eastAsia="Calibri" w:hAnsi="David"/>
          <w:b/>
          <w:bCs/>
          <w:noProof w:val="0"/>
          <w:rtl/>
        </w:rPr>
        <w:t xml:space="preserve">צריך להשוות הכל לאותו תאריך ופה עשיתי למועד הקרע. את כל הנכסים לרבות הגמלאות של התובע והנתבעת. היות שגם בסופו של דבר תוצאת האיזון היא מאוד דומה </w:t>
      </w:r>
      <w:r w:rsidR="001956B0" w:rsidRPr="004F2AF5">
        <w:rPr>
          <w:rFonts w:ascii="David" w:eastAsia="Calibri" w:hAnsi="David"/>
          <w:b/>
          <w:bCs/>
          <w:noProof w:val="0"/>
          <w:u w:val="single"/>
          <w:rtl/>
        </w:rPr>
        <w:t xml:space="preserve">גם אם הייתי מחשב לתאריך אחר מן הסתם </w:t>
      </w:r>
      <w:r w:rsidR="00D012BB" w:rsidRPr="004F2AF5">
        <w:rPr>
          <w:rFonts w:ascii="David" w:eastAsia="Calibri" w:hAnsi="David"/>
          <w:b/>
          <w:bCs/>
          <w:noProof w:val="0"/>
          <w:u w:val="single"/>
          <w:rtl/>
        </w:rPr>
        <w:t>תוצאת החישוב היתה דומה</w:t>
      </w:r>
      <w:r w:rsidR="00D012BB" w:rsidRPr="004F2AF5">
        <w:rPr>
          <w:rFonts w:ascii="David" w:eastAsia="Calibri" w:hAnsi="David"/>
          <w:b/>
          <w:bCs/>
          <w:noProof w:val="0"/>
          <w:rtl/>
        </w:rPr>
        <w:t xml:space="preserve"> כי שני ה</w:t>
      </w:r>
      <w:r w:rsidR="00D012BB" w:rsidRPr="004F2AF5">
        <w:rPr>
          <w:rFonts w:ascii="David" w:eastAsia="Calibri" w:hAnsi="David" w:hint="cs"/>
          <w:b/>
          <w:bCs/>
          <w:noProof w:val="0"/>
          <w:rtl/>
        </w:rPr>
        <w:t>צ</w:t>
      </w:r>
      <w:r w:rsidR="001956B0" w:rsidRPr="004F2AF5">
        <w:rPr>
          <w:rFonts w:ascii="David" w:eastAsia="Calibri" w:hAnsi="David"/>
          <w:b/>
          <w:bCs/>
          <w:noProof w:val="0"/>
          <w:rtl/>
        </w:rPr>
        <w:t>דדים היו צוברים הפרשי הצמדה וריבית ותוספות יוקר באותה מידה ולכן גם מבחינה מעשית אין לכך משמעות גדולה</w:t>
      </w:r>
      <w:r w:rsidR="001956B0" w:rsidRPr="004F2AF5">
        <w:rPr>
          <w:rFonts w:ascii="David" w:eastAsia="Calibri" w:hAnsi="David"/>
          <w:noProof w:val="0"/>
          <w:rtl/>
        </w:rPr>
        <w:t>" (עמ' 25 לפרוט' שורות 21-</w:t>
      </w:r>
      <w:r w:rsidR="00D1080B" w:rsidRPr="004F2AF5">
        <w:rPr>
          <w:rFonts w:ascii="David" w:eastAsia="Calibri" w:hAnsi="David"/>
          <w:noProof w:val="0"/>
          <w:rtl/>
        </w:rPr>
        <w:t>25</w:t>
      </w:r>
      <w:r w:rsidR="00D1080B" w:rsidRPr="004F2AF5">
        <w:rPr>
          <w:rFonts w:ascii="David" w:eastAsia="Calibri" w:hAnsi="David" w:hint="cs"/>
          <w:noProof w:val="0"/>
          <w:rtl/>
        </w:rPr>
        <w:t xml:space="preserve">; ההדגשה אינה במקור </w:t>
      </w:r>
      <w:r w:rsidR="00D1080B" w:rsidRPr="004F2AF5">
        <w:rPr>
          <w:rFonts w:ascii="David" w:eastAsia="Calibri" w:hAnsi="David"/>
          <w:noProof w:val="0"/>
          <w:rtl/>
        </w:rPr>
        <w:t>–</w:t>
      </w:r>
      <w:r w:rsidR="00D1080B" w:rsidRPr="004F2AF5">
        <w:rPr>
          <w:rFonts w:ascii="David" w:eastAsia="Calibri" w:hAnsi="David" w:hint="cs"/>
          <w:noProof w:val="0"/>
          <w:rtl/>
        </w:rPr>
        <w:t xml:space="preserve"> ה.ג.)</w:t>
      </w:r>
      <w:r w:rsidR="001956B0" w:rsidRPr="004F2AF5">
        <w:rPr>
          <w:rFonts w:ascii="David" w:eastAsia="Calibri" w:hAnsi="David"/>
          <w:noProof w:val="0"/>
          <w:rtl/>
        </w:rPr>
        <w:t>.</w:t>
      </w:r>
    </w:p>
    <w:p w:rsidR="00F86954" w:rsidRPr="00F86954" w:rsidRDefault="00F86954" w:rsidP="00F86954">
      <w:pPr>
        <w:pStyle w:val="ad"/>
        <w:rPr>
          <w:rFonts w:ascii="David" w:eastAsia="Calibri" w:hAnsi="David"/>
          <w:noProof w:val="0"/>
          <w:rtl/>
        </w:rPr>
      </w:pPr>
    </w:p>
    <w:p w:rsidR="00040BB7" w:rsidRDefault="001D6BB3" w:rsidP="004F2AF5">
      <w:pPr>
        <w:pStyle w:val="ad"/>
        <w:numPr>
          <w:ilvl w:val="0"/>
          <w:numId w:val="1"/>
        </w:numPr>
        <w:spacing w:after="160" w:line="360" w:lineRule="auto"/>
        <w:jc w:val="both"/>
        <w:rPr>
          <w:rFonts w:ascii="David" w:eastAsia="Calibri" w:hAnsi="David"/>
          <w:noProof w:val="0"/>
        </w:rPr>
      </w:pPr>
      <w:r w:rsidRPr="004F2AF5">
        <w:rPr>
          <w:rFonts w:ascii="David" w:eastAsia="Calibri" w:hAnsi="David" w:hint="cs"/>
          <w:noProof w:val="0"/>
          <w:rtl/>
        </w:rPr>
        <w:t xml:space="preserve">אף </w:t>
      </w:r>
      <w:r w:rsidR="001956B0" w:rsidRPr="004F2AF5">
        <w:rPr>
          <w:rFonts w:ascii="David" w:eastAsia="Calibri" w:hAnsi="David"/>
          <w:noProof w:val="0"/>
          <w:rtl/>
        </w:rPr>
        <w:t xml:space="preserve">בסיפא לתשובתו לשאלת הבהרה מס' 8 הבהיר המומחה </w:t>
      </w:r>
      <w:r w:rsidR="00D1080B" w:rsidRPr="004F2AF5">
        <w:rPr>
          <w:rFonts w:ascii="David" w:eastAsia="Calibri" w:hAnsi="David" w:hint="cs"/>
          <w:noProof w:val="0"/>
          <w:rtl/>
        </w:rPr>
        <w:t>שוב,</w:t>
      </w:r>
      <w:r w:rsidR="001956B0" w:rsidRPr="004F2AF5">
        <w:rPr>
          <w:rFonts w:ascii="David" w:eastAsia="Calibri" w:hAnsi="David"/>
          <w:noProof w:val="0"/>
          <w:rtl/>
        </w:rPr>
        <w:t xml:space="preserve"> כי : "שזורים כחוט השני שאלות מדוע הסכומים שוערכו ליום הקרע ולא שוערכו ליום חוות הדעת? מעבר </w:t>
      </w:r>
      <w:r w:rsidR="001956B0" w:rsidRPr="004F2AF5">
        <w:rPr>
          <w:rFonts w:ascii="David" w:eastAsia="Calibri" w:hAnsi="David"/>
          <w:b/>
          <w:bCs/>
          <w:noProof w:val="0"/>
          <w:rtl/>
        </w:rPr>
        <w:t>לדרך המלך המקובלת בהכנת חוות דעת ליום הקרע</w:t>
      </w:r>
      <w:r w:rsidR="001956B0" w:rsidRPr="004F2AF5">
        <w:rPr>
          <w:rFonts w:ascii="David" w:eastAsia="Calibri" w:hAnsi="David"/>
          <w:noProof w:val="0"/>
          <w:rtl/>
        </w:rPr>
        <w:t xml:space="preserve"> הרי אל לאישה לחשוב כי נגרע מכיסה </w:t>
      </w:r>
      <w:r w:rsidR="001956B0" w:rsidRPr="004F2AF5">
        <w:rPr>
          <w:rFonts w:ascii="David" w:eastAsia="Calibri" w:hAnsi="David"/>
          <w:noProof w:val="0"/>
          <w:rtl/>
        </w:rPr>
        <w:lastRenderedPageBreak/>
        <w:t xml:space="preserve">סכום כלשהוא שכן </w:t>
      </w:r>
      <w:r w:rsidR="001956B0" w:rsidRPr="004F2AF5">
        <w:rPr>
          <w:rFonts w:ascii="David" w:eastAsia="Calibri" w:hAnsi="David"/>
          <w:b/>
          <w:bCs/>
          <w:noProof w:val="0"/>
          <w:rtl/>
        </w:rPr>
        <w:t xml:space="preserve">חישוב איזון המשאבים בתיק זה </w:t>
      </w:r>
      <w:r w:rsidR="001956B0" w:rsidRPr="004F2AF5">
        <w:rPr>
          <w:rFonts w:ascii="David" w:eastAsia="Calibri" w:hAnsi="David"/>
          <w:b/>
          <w:bCs/>
          <w:noProof w:val="0"/>
          <w:u w:val="single"/>
          <w:rtl/>
        </w:rPr>
        <w:t>מביא כמעט לשוויון</w:t>
      </w:r>
      <w:r w:rsidR="001956B0" w:rsidRPr="004F2AF5">
        <w:rPr>
          <w:rFonts w:ascii="David" w:eastAsia="Calibri" w:hAnsi="David"/>
          <w:b/>
          <w:bCs/>
          <w:noProof w:val="0"/>
          <w:rtl/>
        </w:rPr>
        <w:t xml:space="preserve"> בנכסים של כל צד, כך שבממוצע שיערוך ליום חוות הדעת היה מביא לתוצאה דומה</w:t>
      </w:r>
      <w:r w:rsidR="001956B0" w:rsidRPr="004F2AF5">
        <w:rPr>
          <w:rFonts w:ascii="David" w:eastAsia="Calibri" w:hAnsi="David"/>
          <w:noProof w:val="0"/>
          <w:rtl/>
        </w:rPr>
        <w:t>"</w:t>
      </w:r>
      <w:r w:rsidR="00542C73" w:rsidRPr="004F2AF5">
        <w:rPr>
          <w:rFonts w:ascii="David" w:eastAsia="Calibri" w:hAnsi="David" w:hint="cs"/>
          <w:noProof w:val="0"/>
          <w:rtl/>
        </w:rPr>
        <w:t xml:space="preserve"> (הדגשה אינה במקור- ה.ג.).</w:t>
      </w:r>
    </w:p>
    <w:p w:rsidR="004F2AF5" w:rsidRPr="004F2AF5" w:rsidRDefault="004F2AF5" w:rsidP="004F2AF5">
      <w:pPr>
        <w:pStyle w:val="ad"/>
        <w:rPr>
          <w:rFonts w:ascii="David" w:eastAsia="Calibri" w:hAnsi="David"/>
          <w:noProof w:val="0"/>
          <w:rtl/>
        </w:rPr>
      </w:pPr>
    </w:p>
    <w:p w:rsidR="00135A04" w:rsidRPr="004F2AF5" w:rsidRDefault="00A91F9A" w:rsidP="004F2AF5">
      <w:pPr>
        <w:pStyle w:val="ad"/>
        <w:numPr>
          <w:ilvl w:val="0"/>
          <w:numId w:val="1"/>
        </w:numPr>
        <w:spacing w:after="160" w:line="360" w:lineRule="auto"/>
        <w:ind w:hanging="437"/>
        <w:jc w:val="both"/>
        <w:rPr>
          <w:rFonts w:ascii="David" w:eastAsia="Calibri" w:hAnsi="David"/>
          <w:noProof w:val="0"/>
        </w:rPr>
      </w:pPr>
      <w:r w:rsidRPr="000D414A">
        <w:rPr>
          <w:rFonts w:ascii="David" w:eastAsia="Calibri" w:hAnsi="David" w:hint="cs"/>
          <w:noProof w:val="0"/>
          <w:rtl/>
        </w:rPr>
        <w:t xml:space="preserve">בנסיבות אלו, מאחר </w:t>
      </w:r>
      <w:r w:rsidR="00F33BBE" w:rsidRPr="000D414A">
        <w:rPr>
          <w:rFonts w:ascii="David" w:eastAsia="Calibri" w:hAnsi="David" w:hint="cs"/>
          <w:noProof w:val="0"/>
          <w:rtl/>
        </w:rPr>
        <w:t xml:space="preserve">והצדדים הסכימו על עריכת היוון והמומחה העיד כי ממילא אין נפקות למועד חישוב שונה ממועד הפירוד (מועד ביניים שחל קודם למועד הפרישה בפועל), </w:t>
      </w:r>
      <w:r w:rsidRPr="000D414A">
        <w:rPr>
          <w:rFonts w:ascii="David" w:eastAsia="Calibri" w:hAnsi="David" w:hint="cs"/>
          <w:noProof w:val="0"/>
          <w:rtl/>
        </w:rPr>
        <w:t>לעומת מועד עריכת ח</w:t>
      </w:r>
      <w:r w:rsidR="00A20B2B" w:rsidRPr="000D414A">
        <w:rPr>
          <w:rFonts w:ascii="David" w:eastAsia="Calibri" w:hAnsi="David" w:hint="cs"/>
          <w:noProof w:val="0"/>
          <w:rtl/>
        </w:rPr>
        <w:t>וות הדעת לאחר שהסכומים משוערכים</w:t>
      </w:r>
      <w:r w:rsidR="00F33BBE" w:rsidRPr="000D414A">
        <w:rPr>
          <w:rFonts w:ascii="David" w:eastAsia="Calibri" w:hAnsi="David" w:hint="cs"/>
          <w:noProof w:val="0"/>
          <w:rtl/>
        </w:rPr>
        <w:t>, ועמדתו זו לא נסתרה</w:t>
      </w:r>
      <w:r w:rsidR="00542C73" w:rsidRPr="004F2AF5">
        <w:rPr>
          <w:rFonts w:ascii="David" w:eastAsia="Calibri" w:hAnsi="David" w:hint="cs"/>
          <w:noProof w:val="0"/>
          <w:rtl/>
        </w:rPr>
        <w:t>;</w:t>
      </w:r>
      <w:r w:rsidR="00135A04" w:rsidRPr="004F2AF5">
        <w:rPr>
          <w:rFonts w:ascii="David" w:eastAsia="Calibri" w:hAnsi="David" w:hint="cs"/>
          <w:noProof w:val="0"/>
          <w:rtl/>
        </w:rPr>
        <w:t xml:space="preserve"> </w:t>
      </w:r>
      <w:r w:rsidRPr="004F2AF5">
        <w:rPr>
          <w:rFonts w:ascii="David" w:eastAsia="Calibri" w:hAnsi="David" w:hint="cs"/>
          <w:b/>
          <w:bCs/>
          <w:noProof w:val="0"/>
          <w:rtl/>
        </w:rPr>
        <w:t xml:space="preserve">מצאתי </w:t>
      </w:r>
      <w:r w:rsidR="00542C73" w:rsidRPr="004F2AF5">
        <w:rPr>
          <w:rFonts w:ascii="David" w:eastAsia="Calibri" w:hAnsi="David" w:hint="cs"/>
          <w:b/>
          <w:bCs/>
          <w:noProof w:val="0"/>
          <w:rtl/>
        </w:rPr>
        <w:t xml:space="preserve">לאמץ </w:t>
      </w:r>
      <w:r w:rsidRPr="004F2AF5">
        <w:rPr>
          <w:rFonts w:ascii="David" w:eastAsia="Calibri" w:hAnsi="David" w:hint="cs"/>
          <w:b/>
          <w:bCs/>
          <w:noProof w:val="0"/>
          <w:rtl/>
        </w:rPr>
        <w:t>את עמדת המומחה ולהורות כי החישוב יערך על פי המשכורת הידועה</w:t>
      </w:r>
      <w:r w:rsidR="00135A04" w:rsidRPr="004F2AF5">
        <w:rPr>
          <w:rFonts w:ascii="David" w:eastAsia="Calibri" w:hAnsi="David" w:hint="cs"/>
          <w:b/>
          <w:bCs/>
          <w:noProof w:val="0"/>
          <w:rtl/>
        </w:rPr>
        <w:t xml:space="preserve"> בעת מועד הקרע</w:t>
      </w:r>
      <w:r w:rsidR="00356F62" w:rsidRPr="004F2AF5">
        <w:rPr>
          <w:rFonts w:ascii="David" w:eastAsia="Calibri" w:hAnsi="David" w:hint="cs"/>
          <w:b/>
          <w:bCs/>
          <w:noProof w:val="0"/>
          <w:rtl/>
        </w:rPr>
        <w:t>,</w:t>
      </w:r>
      <w:r w:rsidR="00135A04" w:rsidRPr="004F2AF5">
        <w:rPr>
          <w:rFonts w:ascii="David" w:eastAsia="Calibri" w:hAnsi="David" w:hint="cs"/>
          <w:b/>
          <w:bCs/>
          <w:noProof w:val="0"/>
          <w:rtl/>
        </w:rPr>
        <w:t xml:space="preserve"> כאשר היא משוערכת</w:t>
      </w:r>
      <w:r w:rsidR="00356F62" w:rsidRPr="004F2AF5">
        <w:rPr>
          <w:rFonts w:ascii="David" w:eastAsia="Calibri" w:hAnsi="David" w:hint="cs"/>
          <w:b/>
          <w:bCs/>
          <w:noProof w:val="0"/>
          <w:rtl/>
        </w:rPr>
        <w:t>, בתוספת הפרשי הצמדה</w:t>
      </w:r>
      <w:r w:rsidR="00EA0ABB">
        <w:rPr>
          <w:rFonts w:ascii="David" w:eastAsia="Calibri" w:hAnsi="David" w:hint="cs"/>
          <w:b/>
          <w:bCs/>
          <w:noProof w:val="0"/>
          <w:rtl/>
        </w:rPr>
        <w:t xml:space="preserve"> וריבית</w:t>
      </w:r>
      <w:r w:rsidR="00356F62" w:rsidRPr="004F2AF5">
        <w:rPr>
          <w:rFonts w:ascii="David" w:eastAsia="Calibri" w:hAnsi="David" w:hint="cs"/>
          <w:b/>
          <w:bCs/>
          <w:noProof w:val="0"/>
          <w:rtl/>
        </w:rPr>
        <w:t xml:space="preserve"> (ראו להלן)</w:t>
      </w:r>
      <w:r w:rsidR="00135A04" w:rsidRPr="004F2AF5">
        <w:rPr>
          <w:rFonts w:ascii="David" w:eastAsia="Calibri" w:hAnsi="David" w:hint="cs"/>
          <w:b/>
          <w:bCs/>
          <w:noProof w:val="0"/>
          <w:rtl/>
        </w:rPr>
        <w:t>.</w:t>
      </w:r>
    </w:p>
    <w:p w:rsidR="00135A04" w:rsidRDefault="00135A04" w:rsidP="00135A04">
      <w:pPr>
        <w:pStyle w:val="ad"/>
        <w:rPr>
          <w:rFonts w:ascii="David" w:eastAsia="Calibri" w:hAnsi="David"/>
          <w:noProof w:val="0"/>
          <w:rtl/>
        </w:rPr>
      </w:pPr>
    </w:p>
    <w:p w:rsidR="001956B0" w:rsidRPr="0076725E" w:rsidRDefault="007F29F6" w:rsidP="004F2AF5">
      <w:pPr>
        <w:numPr>
          <w:ilvl w:val="0"/>
          <w:numId w:val="1"/>
        </w:numPr>
        <w:spacing w:after="160" w:line="360" w:lineRule="auto"/>
        <w:ind w:hanging="437"/>
        <w:contextualSpacing/>
        <w:jc w:val="both"/>
        <w:rPr>
          <w:rFonts w:ascii="David" w:eastAsia="Calibri" w:hAnsi="David"/>
          <w:b/>
          <w:bCs/>
          <w:noProof w:val="0"/>
          <w:rtl/>
        </w:rPr>
      </w:pPr>
      <w:r w:rsidRPr="0076725E">
        <w:rPr>
          <w:rFonts w:ascii="David" w:eastAsia="Calibri" w:hAnsi="David" w:hint="cs"/>
          <w:b/>
          <w:bCs/>
          <w:noProof w:val="0"/>
          <w:rtl/>
        </w:rPr>
        <w:t xml:space="preserve">אשר על כן </w:t>
      </w:r>
      <w:r w:rsidR="00135A04" w:rsidRPr="0076725E">
        <w:rPr>
          <w:rFonts w:ascii="David" w:eastAsia="Calibri" w:hAnsi="David" w:hint="cs"/>
          <w:b/>
          <w:bCs/>
          <w:noProof w:val="0"/>
          <w:rtl/>
        </w:rPr>
        <w:t>טענת ה</w:t>
      </w:r>
      <w:r w:rsidR="002A21D0" w:rsidRPr="0076725E">
        <w:rPr>
          <w:rFonts w:ascii="David" w:eastAsia="Calibri" w:hAnsi="David" w:hint="cs"/>
          <w:b/>
          <w:bCs/>
          <w:noProof w:val="0"/>
          <w:rtl/>
        </w:rPr>
        <w:t>נ</w:t>
      </w:r>
      <w:r w:rsidR="00135A04" w:rsidRPr="0076725E">
        <w:rPr>
          <w:rFonts w:ascii="David" w:eastAsia="Calibri" w:hAnsi="David" w:hint="cs"/>
          <w:b/>
          <w:bCs/>
          <w:noProof w:val="0"/>
          <w:rtl/>
        </w:rPr>
        <w:t xml:space="preserve">תבעת לחישוב הזכויות על פי המשכורת </w:t>
      </w:r>
      <w:r w:rsidR="00192B54" w:rsidRPr="0076725E">
        <w:rPr>
          <w:rFonts w:ascii="David" w:eastAsia="Calibri" w:hAnsi="David" w:hint="cs"/>
          <w:b/>
          <w:bCs/>
          <w:noProof w:val="0"/>
          <w:rtl/>
        </w:rPr>
        <w:t xml:space="preserve">בעת הפרישה בפועל </w:t>
      </w:r>
      <w:r w:rsidR="00135A04" w:rsidRPr="0076725E">
        <w:rPr>
          <w:rFonts w:ascii="David" w:eastAsia="Calibri" w:hAnsi="David" w:hint="cs"/>
          <w:b/>
          <w:bCs/>
          <w:noProof w:val="0"/>
          <w:rtl/>
        </w:rPr>
        <w:t>או לחילופין על פי מועד חוות הדעת נדחית בזא</w:t>
      </w:r>
      <w:r w:rsidR="00741683" w:rsidRPr="0076725E">
        <w:rPr>
          <w:rFonts w:ascii="David" w:eastAsia="Calibri" w:hAnsi="David" w:hint="cs"/>
          <w:b/>
          <w:bCs/>
          <w:noProof w:val="0"/>
          <w:rtl/>
        </w:rPr>
        <w:t>ת.</w:t>
      </w:r>
      <w:r w:rsidR="00A91F9A" w:rsidRPr="0076725E">
        <w:rPr>
          <w:rFonts w:ascii="David" w:eastAsia="Calibri" w:hAnsi="David" w:hint="cs"/>
          <w:b/>
          <w:bCs/>
          <w:noProof w:val="0"/>
          <w:rtl/>
        </w:rPr>
        <w:t xml:space="preserve">  </w:t>
      </w:r>
    </w:p>
    <w:p w:rsidR="001956B0" w:rsidRPr="001956B0" w:rsidRDefault="001956B0" w:rsidP="001956B0">
      <w:pPr>
        <w:spacing w:after="160" w:line="256" w:lineRule="auto"/>
        <w:ind w:left="720"/>
        <w:contextualSpacing/>
        <w:rPr>
          <w:rFonts w:ascii="David" w:eastAsia="Calibri" w:hAnsi="David"/>
          <w:noProof w:val="0"/>
        </w:rPr>
      </w:pPr>
    </w:p>
    <w:p w:rsidR="001956B0" w:rsidRPr="0076725E" w:rsidRDefault="001956B0" w:rsidP="001956B0">
      <w:pPr>
        <w:spacing w:line="360" w:lineRule="auto"/>
        <w:jc w:val="both"/>
        <w:rPr>
          <w:rFonts w:ascii="David" w:eastAsia="Calibri" w:hAnsi="David"/>
          <w:noProof w:val="0"/>
          <w:sz w:val="26"/>
          <w:szCs w:val="26"/>
          <w:u w:val="single"/>
          <w:rtl/>
        </w:rPr>
      </w:pPr>
      <w:r w:rsidRPr="0076725E">
        <w:rPr>
          <w:rFonts w:ascii="David" w:eastAsia="Calibri" w:hAnsi="David"/>
          <w:b/>
          <w:bCs/>
          <w:noProof w:val="0"/>
          <w:sz w:val="26"/>
          <w:szCs w:val="26"/>
          <w:u w:val="single"/>
          <w:rtl/>
        </w:rPr>
        <w:t>תוספת 3.82% למשכורת הקובעת לפנסיה</w:t>
      </w:r>
    </w:p>
    <w:p w:rsidR="001956B0" w:rsidRPr="001956B0" w:rsidRDefault="001956B0" w:rsidP="001956B0">
      <w:pPr>
        <w:spacing w:line="360" w:lineRule="auto"/>
        <w:ind w:left="720"/>
        <w:contextualSpacing/>
        <w:jc w:val="both"/>
        <w:rPr>
          <w:rFonts w:ascii="David" w:eastAsia="Calibri" w:hAnsi="David"/>
          <w:noProof w:val="0"/>
          <w:rtl/>
        </w:rPr>
      </w:pPr>
    </w:p>
    <w:p w:rsidR="00F6279A" w:rsidRPr="00F6279A" w:rsidRDefault="001956B0" w:rsidP="004F2AF5">
      <w:pPr>
        <w:numPr>
          <w:ilvl w:val="0"/>
          <w:numId w:val="1"/>
        </w:numPr>
        <w:spacing w:after="160" w:line="360" w:lineRule="auto"/>
        <w:ind w:hanging="437"/>
        <w:contextualSpacing/>
        <w:jc w:val="both"/>
        <w:rPr>
          <w:rFonts w:ascii="David" w:eastAsia="Calibri" w:hAnsi="David"/>
          <w:noProof w:val="0"/>
          <w:rtl/>
        </w:rPr>
      </w:pPr>
      <w:r w:rsidRPr="00F6279A">
        <w:rPr>
          <w:rFonts w:ascii="David" w:eastAsia="Calibri" w:hAnsi="David"/>
          <w:noProof w:val="0"/>
          <w:rtl/>
        </w:rPr>
        <w:t>לטענת הנתבעת הפנסיה התקציבית של התובע כוללת רכיב הקרוי במשרד ראש הממשלה "מקדמה –גמלאי ב'", בשיעור של 3.82% מהמשכורת הקובעת, אשר המומחה לא התחשב בו בחישוביו למרות שכלל רכיב זה בחישובי הפנסיה שלה. ולפיכך יש להורות</w:t>
      </w:r>
      <w:r w:rsidR="00F6279A" w:rsidRPr="00F6279A">
        <w:rPr>
          <w:rFonts w:ascii="David" w:eastAsia="Calibri" w:hAnsi="David"/>
          <w:noProof w:val="0"/>
          <w:rtl/>
        </w:rPr>
        <w:t xml:space="preserve"> למומחה להוסיף רכיב זה לחישוביו</w:t>
      </w:r>
      <w:r w:rsidR="00F6279A" w:rsidRPr="00F6279A">
        <w:rPr>
          <w:rFonts w:ascii="David" w:eastAsia="Calibri" w:hAnsi="David" w:hint="cs"/>
          <w:noProof w:val="0"/>
          <w:rtl/>
        </w:rPr>
        <w:t xml:space="preserve">; </w:t>
      </w:r>
      <w:r w:rsidR="00F6279A" w:rsidRPr="00F6279A">
        <w:rPr>
          <w:rFonts w:ascii="David" w:eastAsia="Calibri" w:hAnsi="David"/>
          <w:noProof w:val="0"/>
          <w:rtl/>
        </w:rPr>
        <w:t xml:space="preserve">בסיכומי תשובתה טענה הנתבעת כי התוספת האמורה מעוגנת </w:t>
      </w:r>
      <w:r w:rsidR="00F6279A" w:rsidRPr="00F6279A">
        <w:rPr>
          <w:rFonts w:ascii="David" w:eastAsia="Calibri" w:hAnsi="David"/>
          <w:b/>
          <w:bCs/>
          <w:noProof w:val="0"/>
          <w:rtl/>
        </w:rPr>
        <w:t>בחוק הגמלאות (השלמה לתוספת היוקר)</w:t>
      </w:r>
      <w:r w:rsidR="00F6279A" w:rsidRPr="00F6279A">
        <w:rPr>
          <w:rFonts w:ascii="David" w:eastAsia="Calibri" w:hAnsi="David"/>
          <w:noProof w:val="0"/>
          <w:rtl/>
        </w:rPr>
        <w:t>, התשמ"ט – 1989; ולמען המחשת התוספת היא הפנתה לתל</w:t>
      </w:r>
      <w:r w:rsidR="00F6279A">
        <w:rPr>
          <w:rFonts w:ascii="David" w:eastAsia="Calibri" w:hAnsi="David"/>
          <w:noProof w:val="0"/>
          <w:rtl/>
        </w:rPr>
        <w:t>וש גמלה ממשרד רוה"מ של בא כוחה</w:t>
      </w:r>
      <w:r w:rsidR="00F6279A" w:rsidRPr="00F6279A">
        <w:rPr>
          <w:rFonts w:ascii="David" w:eastAsia="Calibri" w:hAnsi="David"/>
          <w:noProof w:val="0"/>
          <w:rtl/>
        </w:rPr>
        <w:t xml:space="preserve"> בו מפורטת התוספת האמורה וכינוייה במשרד רוה"מ  "מקדמה – גמלאי ב'" (ראו נספח 2 לסיכומי התשובה). </w:t>
      </w:r>
    </w:p>
    <w:p w:rsidR="00F6279A" w:rsidRPr="001956B0" w:rsidRDefault="00F6279A" w:rsidP="001956B0">
      <w:pPr>
        <w:spacing w:line="360" w:lineRule="auto"/>
        <w:ind w:left="720"/>
        <w:contextualSpacing/>
        <w:jc w:val="both"/>
        <w:rPr>
          <w:rFonts w:ascii="David" w:eastAsia="Calibri" w:hAnsi="David"/>
          <w:noProof w:val="0"/>
        </w:rPr>
      </w:pPr>
    </w:p>
    <w:p w:rsidR="00E65209" w:rsidRDefault="001956B0" w:rsidP="004F2AF5">
      <w:pPr>
        <w:numPr>
          <w:ilvl w:val="0"/>
          <w:numId w:val="1"/>
        </w:numPr>
        <w:spacing w:after="160" w:line="360" w:lineRule="auto"/>
        <w:ind w:hanging="437"/>
        <w:contextualSpacing/>
        <w:jc w:val="both"/>
        <w:rPr>
          <w:rFonts w:ascii="David" w:eastAsia="Calibri" w:hAnsi="David"/>
          <w:noProof w:val="0"/>
        </w:rPr>
      </w:pPr>
      <w:r w:rsidRPr="001956B0">
        <w:rPr>
          <w:rFonts w:ascii="David" w:eastAsia="Calibri" w:hAnsi="David"/>
          <w:noProof w:val="0"/>
          <w:rtl/>
        </w:rPr>
        <w:t>לטענת התובע טענה זו של הנתבעת לא הוכחה על ידה ונטענה ללא כל סימוכין. הנתבעת עתרה לצו גילוי מידע ממשרד רוה"מ וקיבלה מידע מלא ועדכני במכתב מיום 14.9.21 שצורף כנספח 7 לסיכומיו ומכתב זה עמד בפני המומחה ושימש אותו להכנת חוות דעתו בכל הנוגע לזכויות התובע לאיזון. במכתב זה אין זכר לתוספת השכר הנטענת. ככל שהנתבעת חלקה על מכתב זה היה עליה להזמין נציג משרד רוה"מ ולחוקרו על כך, והעובדה כי לא עשתה כן נזקפת לחובתה. מעבר לכך על פי החלטת בית המשפט מיום 10.7.22 ככל שהיה חסר לה מידע ממקום עבודתו של התובע היא יכלה להשלים המידע החסר לה לטענתה לנוכח צווי גילוי המידע שברשותה (סעיף 10 להחלטה) והזדמנות נוספת לכך ניתנה לנתבעת אף בהחלטה מיום 14.7.22, ומ</w:t>
      </w:r>
      <w:r w:rsidR="008D5EEF">
        <w:rPr>
          <w:rFonts w:ascii="David" w:eastAsia="Calibri" w:hAnsi="David" w:hint="cs"/>
          <w:noProof w:val="0"/>
          <w:rtl/>
        </w:rPr>
        <w:t>ש</w:t>
      </w:r>
      <w:r w:rsidRPr="001956B0">
        <w:rPr>
          <w:rFonts w:ascii="David" w:eastAsia="Calibri" w:hAnsi="David"/>
          <w:noProof w:val="0"/>
          <w:rtl/>
        </w:rPr>
        <w:t xml:space="preserve">הנתבעת נמנעה לפעול בהתאם לכך הרי היא מושתקת לעתור להגדלה כלשהי, אשר לא אך שלא הונחה לגביה כל ראיה אלא שטענה ביחס אליה סותרת את מכתב </w:t>
      </w:r>
      <w:r w:rsidR="002421DC">
        <w:rPr>
          <w:rFonts w:ascii="David" w:eastAsia="Calibri" w:hAnsi="David" w:hint="cs"/>
          <w:noProof w:val="0"/>
          <w:rtl/>
        </w:rPr>
        <w:t xml:space="preserve">משרד </w:t>
      </w:r>
      <w:r w:rsidRPr="001956B0">
        <w:rPr>
          <w:rFonts w:ascii="David" w:eastAsia="Calibri" w:hAnsi="David"/>
          <w:noProof w:val="0"/>
          <w:rtl/>
        </w:rPr>
        <w:t xml:space="preserve">רוה"מ מיום 14.7.22. </w:t>
      </w:r>
    </w:p>
    <w:p w:rsidR="00E65209" w:rsidRDefault="00E65209" w:rsidP="00E65209">
      <w:pPr>
        <w:pStyle w:val="ad"/>
        <w:rPr>
          <w:rFonts w:ascii="David" w:eastAsia="Calibri" w:hAnsi="David"/>
          <w:noProof w:val="0"/>
          <w:rtl/>
        </w:rPr>
      </w:pPr>
    </w:p>
    <w:p w:rsidR="001956B0" w:rsidRPr="00E65209" w:rsidRDefault="001956B0" w:rsidP="004F2AF5">
      <w:pPr>
        <w:numPr>
          <w:ilvl w:val="0"/>
          <w:numId w:val="1"/>
        </w:numPr>
        <w:spacing w:after="160" w:line="360" w:lineRule="auto"/>
        <w:ind w:hanging="579"/>
        <w:contextualSpacing/>
        <w:jc w:val="both"/>
        <w:rPr>
          <w:rFonts w:ascii="David" w:eastAsia="Calibri" w:hAnsi="David"/>
          <w:b/>
          <w:bCs/>
          <w:noProof w:val="0"/>
        </w:rPr>
      </w:pPr>
      <w:r w:rsidRPr="001956B0">
        <w:rPr>
          <w:rFonts w:ascii="David" w:eastAsia="Calibri" w:hAnsi="David"/>
          <w:noProof w:val="0"/>
          <w:rtl/>
        </w:rPr>
        <w:t xml:space="preserve">התובע הוסיף והפנה לעניין זה לדברי ביהמ"ש בהקשר זה בפתח הדיון מיום 8.12.22, </w:t>
      </w:r>
      <w:r w:rsidR="00E65209">
        <w:rPr>
          <w:rFonts w:ascii="David" w:eastAsia="Calibri" w:hAnsi="David" w:hint="cs"/>
          <w:noProof w:val="0"/>
          <w:rtl/>
        </w:rPr>
        <w:t xml:space="preserve">לעניין </w:t>
      </w:r>
      <w:r w:rsidR="00E65209" w:rsidRPr="00E65209">
        <w:rPr>
          <w:rFonts w:ascii="David" w:eastAsia="Calibri" w:hAnsi="David" w:hint="cs"/>
          <w:noProof w:val="0"/>
          <w:rtl/>
        </w:rPr>
        <w:t xml:space="preserve">העובדה שבידי הנתבעת היו צווי גילוי מידע והיה בידה להשלים מידע חסר, </w:t>
      </w:r>
      <w:r w:rsidRPr="00E65209">
        <w:rPr>
          <w:rFonts w:ascii="David" w:eastAsia="Calibri" w:hAnsi="David"/>
          <w:noProof w:val="0"/>
          <w:rtl/>
        </w:rPr>
        <w:t>אשר במענה להם השיב ב"כ הנתבעת "</w:t>
      </w:r>
      <w:r w:rsidR="00E65209" w:rsidRPr="00E65209">
        <w:rPr>
          <w:rFonts w:ascii="David" w:eastAsia="Calibri" w:hAnsi="David" w:hint="cs"/>
          <w:noProof w:val="0"/>
          <w:rtl/>
        </w:rPr>
        <w:t>...</w:t>
      </w:r>
      <w:r w:rsidR="00E65209" w:rsidRPr="00E65209">
        <w:rPr>
          <w:rFonts w:ascii="David" w:eastAsia="Calibri" w:hAnsi="David" w:hint="cs"/>
          <w:b/>
          <w:bCs/>
          <w:noProof w:val="0"/>
          <w:rtl/>
        </w:rPr>
        <w:t xml:space="preserve">אנו מקבלים את הערת בית המשפט... </w:t>
      </w:r>
      <w:r w:rsidRPr="00E65209">
        <w:rPr>
          <w:rFonts w:ascii="David" w:eastAsia="Calibri" w:hAnsi="David"/>
          <w:b/>
          <w:bCs/>
          <w:noProof w:val="0"/>
          <w:rtl/>
        </w:rPr>
        <w:t xml:space="preserve">אנחנו יכולים לוותר על הטענה הזאת". </w:t>
      </w:r>
    </w:p>
    <w:p w:rsidR="001956B0" w:rsidRPr="001956B0" w:rsidRDefault="001956B0" w:rsidP="00AF77FC">
      <w:pPr>
        <w:spacing w:after="160" w:line="256" w:lineRule="auto"/>
        <w:ind w:left="720" w:hanging="579"/>
        <w:contextualSpacing/>
        <w:rPr>
          <w:rFonts w:ascii="David" w:eastAsia="Calibri" w:hAnsi="David"/>
          <w:noProof w:val="0"/>
        </w:rPr>
      </w:pPr>
    </w:p>
    <w:p w:rsidR="00F6279A" w:rsidRDefault="000034F4" w:rsidP="004F2AF5">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אכן, </w:t>
      </w:r>
      <w:r w:rsidR="00F6279A" w:rsidRPr="00F6279A">
        <w:rPr>
          <w:rFonts w:ascii="David" w:eastAsia="Calibri" w:hAnsi="David"/>
          <w:noProof w:val="0"/>
          <w:rtl/>
        </w:rPr>
        <w:t xml:space="preserve">בנסיבות בהן ניתנו לנתבעת צווי גילוי והיא נדרשה </w:t>
      </w:r>
      <w:r w:rsidR="00542C73" w:rsidRPr="00F6279A">
        <w:rPr>
          <w:rFonts w:ascii="David" w:eastAsia="Calibri" w:hAnsi="David"/>
          <w:noProof w:val="0"/>
          <w:rtl/>
        </w:rPr>
        <w:t xml:space="preserve">בשתי החלטות שיצאו תחת ידי (מיום 10.7.22 ומיום 14.7.22) </w:t>
      </w:r>
      <w:r w:rsidR="00F6279A" w:rsidRPr="00F6279A">
        <w:rPr>
          <w:rFonts w:ascii="David" w:eastAsia="Calibri" w:hAnsi="David"/>
          <w:noProof w:val="0"/>
          <w:rtl/>
        </w:rPr>
        <w:t>להשלים ראיות ממעבידו של התובע ככל שנדרש</w:t>
      </w:r>
      <w:r w:rsidR="00542C73">
        <w:rPr>
          <w:rFonts w:ascii="David" w:eastAsia="Calibri" w:hAnsi="David" w:hint="cs"/>
          <w:noProof w:val="0"/>
          <w:rtl/>
        </w:rPr>
        <w:t>,</w:t>
      </w:r>
      <w:r w:rsidR="00F6279A" w:rsidRPr="00F6279A">
        <w:rPr>
          <w:rFonts w:ascii="David" w:eastAsia="Calibri" w:hAnsi="David"/>
          <w:noProof w:val="0"/>
          <w:rtl/>
        </w:rPr>
        <w:t xml:space="preserve"> </w:t>
      </w:r>
      <w:r w:rsidR="00F6279A">
        <w:rPr>
          <w:rFonts w:ascii="David" w:eastAsia="Calibri" w:hAnsi="David" w:hint="cs"/>
          <w:noProof w:val="0"/>
          <w:rtl/>
        </w:rPr>
        <w:t>ומשעה ש</w:t>
      </w:r>
      <w:r w:rsidR="00F6279A" w:rsidRPr="00F6279A">
        <w:rPr>
          <w:rFonts w:ascii="David" w:eastAsia="Calibri" w:hAnsi="David"/>
          <w:noProof w:val="0"/>
          <w:rtl/>
        </w:rPr>
        <w:t xml:space="preserve">בבקשתה האחרונה לחקירת המומחה (מיום 15.9.22) </w:t>
      </w:r>
      <w:r w:rsidR="00F6279A">
        <w:rPr>
          <w:rFonts w:ascii="David" w:eastAsia="Calibri" w:hAnsi="David" w:hint="cs"/>
          <w:noProof w:val="0"/>
          <w:rtl/>
        </w:rPr>
        <w:t xml:space="preserve">היא </w:t>
      </w:r>
      <w:r w:rsidR="00F6279A" w:rsidRPr="002421DC">
        <w:rPr>
          <w:rFonts w:ascii="David" w:eastAsia="Calibri" w:hAnsi="David" w:hint="cs"/>
          <w:noProof w:val="0"/>
          <w:rtl/>
        </w:rPr>
        <w:t>זנחה</w:t>
      </w:r>
      <w:r w:rsidR="00F6279A">
        <w:rPr>
          <w:rFonts w:ascii="David" w:eastAsia="Calibri" w:hAnsi="David" w:hint="cs"/>
          <w:noProof w:val="0"/>
          <w:rtl/>
        </w:rPr>
        <w:t xml:space="preserve"> </w:t>
      </w:r>
      <w:r w:rsidR="00F6279A" w:rsidRPr="00F6279A">
        <w:rPr>
          <w:rFonts w:ascii="David" w:eastAsia="Calibri" w:hAnsi="David"/>
          <w:noProof w:val="0"/>
          <w:rtl/>
        </w:rPr>
        <w:t xml:space="preserve">את דרישתה לחקור נציג מטעם רוה"מ (ראו סעיף 8 לבקשתה מיום 11.7.22), </w:t>
      </w:r>
      <w:r w:rsidR="00F6279A">
        <w:rPr>
          <w:rFonts w:ascii="David" w:eastAsia="Calibri" w:hAnsi="David" w:hint="cs"/>
          <w:noProof w:val="0"/>
          <w:rtl/>
        </w:rPr>
        <w:t xml:space="preserve">ובדיון מיום 8.12.22 היא כאמור </w:t>
      </w:r>
      <w:r w:rsidR="00F6279A" w:rsidRPr="002421DC">
        <w:rPr>
          <w:rFonts w:ascii="David" w:eastAsia="Calibri" w:hAnsi="David" w:hint="cs"/>
          <w:b/>
          <w:bCs/>
          <w:noProof w:val="0"/>
          <w:rtl/>
        </w:rPr>
        <w:t>וויתרה על טענתה לעניין זה,</w:t>
      </w:r>
      <w:r w:rsidR="00F6279A">
        <w:rPr>
          <w:rFonts w:ascii="David" w:eastAsia="Calibri" w:hAnsi="David" w:hint="cs"/>
          <w:noProof w:val="0"/>
          <w:rtl/>
        </w:rPr>
        <w:t xml:space="preserve"> הרי דומה שאין עוד צורך לדון בטענה זו, אשר ממילא </w:t>
      </w:r>
      <w:r w:rsidR="00F6279A" w:rsidRPr="00F6279A">
        <w:rPr>
          <w:rFonts w:ascii="David" w:eastAsia="Calibri" w:hAnsi="David"/>
          <w:noProof w:val="0"/>
          <w:rtl/>
        </w:rPr>
        <w:t>לא הוכחה כדבעי.</w:t>
      </w:r>
    </w:p>
    <w:p w:rsidR="00F6279A" w:rsidRDefault="00F6279A" w:rsidP="00AF77FC">
      <w:pPr>
        <w:pStyle w:val="ad"/>
        <w:ind w:hanging="579"/>
        <w:rPr>
          <w:rFonts w:ascii="David" w:eastAsia="Calibri" w:hAnsi="David"/>
          <w:noProof w:val="0"/>
          <w:rtl/>
        </w:rPr>
      </w:pPr>
    </w:p>
    <w:p w:rsidR="00F6279A" w:rsidRPr="00F6279A" w:rsidRDefault="00F6279A" w:rsidP="004F2AF5">
      <w:pPr>
        <w:numPr>
          <w:ilvl w:val="0"/>
          <w:numId w:val="1"/>
        </w:numPr>
        <w:spacing w:after="160" w:line="360" w:lineRule="auto"/>
        <w:ind w:hanging="579"/>
        <w:contextualSpacing/>
        <w:jc w:val="both"/>
        <w:rPr>
          <w:rFonts w:ascii="David" w:eastAsia="Calibri" w:hAnsi="David"/>
          <w:noProof w:val="0"/>
        </w:rPr>
      </w:pPr>
      <w:r w:rsidRPr="004C25BF">
        <w:rPr>
          <w:rFonts w:ascii="David" w:eastAsia="Calibri" w:hAnsi="David" w:hint="cs"/>
          <w:noProof w:val="0"/>
          <w:rtl/>
        </w:rPr>
        <w:t xml:space="preserve">למעלה מן הצורך אציין </w:t>
      </w:r>
      <w:r w:rsidR="001956B0" w:rsidRPr="004C25BF">
        <w:rPr>
          <w:rFonts w:ascii="David" w:eastAsia="Calibri" w:hAnsi="David"/>
          <w:noProof w:val="0"/>
          <w:rtl/>
        </w:rPr>
        <w:t xml:space="preserve">כי </w:t>
      </w:r>
      <w:r w:rsidR="00A67C4E">
        <w:rPr>
          <w:rFonts w:ascii="David" w:eastAsia="Calibri" w:hAnsi="David" w:hint="cs"/>
          <w:noProof w:val="0"/>
          <w:rtl/>
        </w:rPr>
        <w:t>ברי ש</w:t>
      </w:r>
      <w:r w:rsidR="001956B0" w:rsidRPr="004C25BF">
        <w:rPr>
          <w:rFonts w:ascii="David" w:eastAsia="Calibri" w:hAnsi="David"/>
          <w:noProof w:val="0"/>
          <w:rtl/>
        </w:rPr>
        <w:t>אין</w:t>
      </w:r>
      <w:r w:rsidR="001956B0" w:rsidRPr="00F6279A">
        <w:rPr>
          <w:rFonts w:ascii="David" w:eastAsia="Calibri" w:hAnsi="David"/>
          <w:noProof w:val="0"/>
          <w:rtl/>
        </w:rPr>
        <w:t xml:space="preserve"> בתלוש הגמלה של בא כוחה המלומד של הנתבעת להוות ראיה לעניין משכורתו של התובע</w:t>
      </w:r>
      <w:r w:rsidRPr="00F6279A">
        <w:rPr>
          <w:rFonts w:ascii="David" w:eastAsia="Calibri" w:hAnsi="David" w:hint="cs"/>
          <w:noProof w:val="0"/>
          <w:rtl/>
        </w:rPr>
        <w:t>.</w:t>
      </w:r>
    </w:p>
    <w:p w:rsidR="00F6279A" w:rsidRPr="007F2FBC" w:rsidRDefault="00F6279A" w:rsidP="00AF77FC">
      <w:pPr>
        <w:pStyle w:val="ad"/>
        <w:ind w:hanging="579"/>
        <w:rPr>
          <w:rFonts w:ascii="David" w:eastAsia="Calibri" w:hAnsi="David"/>
          <w:noProof w:val="0"/>
          <w:highlight w:val="yellow"/>
          <w:rtl/>
        </w:rPr>
      </w:pPr>
    </w:p>
    <w:p w:rsidR="001956B0" w:rsidRPr="001956B0" w:rsidRDefault="001956B0" w:rsidP="004F2AF5">
      <w:pPr>
        <w:numPr>
          <w:ilvl w:val="0"/>
          <w:numId w:val="1"/>
        </w:numPr>
        <w:spacing w:after="160" w:line="360" w:lineRule="auto"/>
        <w:ind w:hanging="579"/>
        <w:contextualSpacing/>
        <w:jc w:val="both"/>
        <w:rPr>
          <w:rFonts w:ascii="David" w:eastAsia="Calibri" w:hAnsi="David"/>
          <w:noProof w:val="0"/>
          <w:rtl/>
        </w:rPr>
      </w:pPr>
      <w:r w:rsidRPr="001956B0">
        <w:rPr>
          <w:rFonts w:ascii="David" w:eastAsia="Calibri" w:hAnsi="David"/>
          <w:noProof w:val="0"/>
          <w:rtl/>
        </w:rPr>
        <w:t xml:space="preserve">המומחה העיד לעניין זה כי </w:t>
      </w:r>
      <w:r w:rsidR="00F6279A">
        <w:rPr>
          <w:rFonts w:ascii="David" w:eastAsia="Calibri" w:hAnsi="David" w:hint="cs"/>
          <w:noProof w:val="0"/>
          <w:rtl/>
        </w:rPr>
        <w:t xml:space="preserve">ערך את החישוב על פי הנתונים והמסמכים שהיו לפניו: </w:t>
      </w:r>
      <w:r w:rsidRPr="001956B0">
        <w:rPr>
          <w:rFonts w:ascii="David" w:eastAsia="Calibri" w:hAnsi="David"/>
          <w:noProof w:val="0"/>
          <w:rtl/>
        </w:rPr>
        <w:t>"...</w:t>
      </w:r>
      <w:r w:rsidRPr="00A20B2B">
        <w:rPr>
          <w:rFonts w:ascii="David" w:eastAsia="Calibri" w:hAnsi="David"/>
          <w:b/>
          <w:bCs/>
          <w:noProof w:val="0"/>
          <w:rtl/>
        </w:rPr>
        <w:t>באשר לתוספת של 3.825, אחוזי הצב</w:t>
      </w:r>
      <w:r w:rsidR="00356F62" w:rsidRPr="00A20B2B">
        <w:rPr>
          <w:rFonts w:ascii="David" w:eastAsia="Calibri" w:hAnsi="David"/>
          <w:b/>
          <w:bCs/>
          <w:noProof w:val="0"/>
          <w:rtl/>
        </w:rPr>
        <w:t>ירה חושבו על פי האישור הרלוונטי</w:t>
      </w:r>
      <w:r w:rsidR="00356F62" w:rsidRPr="00A20B2B">
        <w:rPr>
          <w:rFonts w:ascii="David" w:eastAsia="Calibri" w:hAnsi="David" w:hint="cs"/>
          <w:b/>
          <w:bCs/>
          <w:noProof w:val="0"/>
          <w:rtl/>
        </w:rPr>
        <w:t xml:space="preserve">, שעמד על </w:t>
      </w:r>
      <w:r w:rsidRPr="00A20B2B">
        <w:rPr>
          <w:rFonts w:ascii="David" w:eastAsia="Calibri" w:hAnsi="David"/>
          <w:b/>
          <w:bCs/>
          <w:noProof w:val="0"/>
          <w:rtl/>
        </w:rPr>
        <w:t xml:space="preserve"> 54.5%. חישבתי את האחוז שהבעל צבר לפי יום 14.9.21, שיעורים הנקובים הינם 46.33 לגמלה + קנה זכויות בזמן הנישואין, עוד 8.17%"</w:t>
      </w:r>
      <w:r w:rsidRPr="001956B0">
        <w:rPr>
          <w:rFonts w:ascii="David" w:eastAsia="Calibri" w:hAnsi="David"/>
          <w:noProof w:val="0"/>
          <w:rtl/>
        </w:rPr>
        <w:t xml:space="preserve"> (שורות 31-33 עמ' 25 לפרוט'); ובהמשך העיד כי "</w:t>
      </w:r>
      <w:r w:rsidRPr="00A20B2B">
        <w:rPr>
          <w:rFonts w:ascii="David" w:eastAsia="Calibri" w:hAnsi="David"/>
          <w:b/>
          <w:bCs/>
          <w:noProof w:val="0"/>
          <w:rtl/>
        </w:rPr>
        <w:t>אמרתי שלא ראית את זה באישורי המסמכים ולכן לא לקחתי את זה בחשבון. קיבלתי מסמך, מה הזכויות, מה אחוז השיעור שעליו אני צריך לחשב, 4 נקודה משהו</w:t>
      </w:r>
      <w:r w:rsidRPr="001956B0">
        <w:rPr>
          <w:rFonts w:ascii="David" w:eastAsia="Calibri" w:hAnsi="David"/>
          <w:noProof w:val="0"/>
          <w:rtl/>
        </w:rPr>
        <w:t xml:space="preserve">" </w:t>
      </w:r>
      <w:r w:rsidR="00A20B2B">
        <w:rPr>
          <w:rFonts w:ascii="David" w:eastAsia="Calibri" w:hAnsi="David" w:hint="cs"/>
          <w:noProof w:val="0"/>
          <w:rtl/>
        </w:rPr>
        <w:t>(</w:t>
      </w:r>
      <w:r w:rsidRPr="001956B0">
        <w:rPr>
          <w:rFonts w:ascii="David" w:eastAsia="Calibri" w:hAnsi="David"/>
          <w:noProof w:val="0"/>
          <w:rtl/>
        </w:rPr>
        <w:t>שורות 21-23 עמ' 31 לפרוט').</w:t>
      </w:r>
    </w:p>
    <w:p w:rsidR="001956B0" w:rsidRPr="001956B0" w:rsidRDefault="001956B0" w:rsidP="00AF77FC">
      <w:pPr>
        <w:spacing w:after="160" w:line="256" w:lineRule="auto"/>
        <w:ind w:left="720" w:hanging="579"/>
        <w:contextualSpacing/>
        <w:rPr>
          <w:rFonts w:ascii="David" w:eastAsia="Calibri" w:hAnsi="David"/>
          <w:noProof w:val="0"/>
        </w:rPr>
      </w:pPr>
    </w:p>
    <w:p w:rsidR="001956B0" w:rsidRDefault="00396CE8" w:rsidP="004F2AF5">
      <w:pPr>
        <w:numPr>
          <w:ilvl w:val="0"/>
          <w:numId w:val="1"/>
        </w:numPr>
        <w:spacing w:after="160" w:line="360" w:lineRule="auto"/>
        <w:ind w:hanging="579"/>
        <w:contextualSpacing/>
        <w:jc w:val="both"/>
        <w:rPr>
          <w:rFonts w:ascii="David" w:eastAsia="Calibri" w:hAnsi="David"/>
          <w:b/>
          <w:bCs/>
          <w:noProof w:val="0"/>
        </w:rPr>
      </w:pPr>
      <w:r w:rsidRPr="00396CE8">
        <w:rPr>
          <w:rFonts w:ascii="David" w:eastAsia="Calibri" w:hAnsi="David" w:hint="cs"/>
          <w:b/>
          <w:bCs/>
          <w:noProof w:val="0"/>
          <w:rtl/>
        </w:rPr>
        <w:t xml:space="preserve">לאור האמור </w:t>
      </w:r>
      <w:r>
        <w:rPr>
          <w:rFonts w:ascii="David" w:eastAsia="Calibri" w:hAnsi="David" w:hint="cs"/>
          <w:b/>
          <w:bCs/>
          <w:noProof w:val="0"/>
          <w:rtl/>
        </w:rPr>
        <w:t>ה</w:t>
      </w:r>
      <w:r w:rsidRPr="00396CE8">
        <w:rPr>
          <w:rFonts w:ascii="David" w:eastAsia="Calibri" w:hAnsi="David" w:hint="cs"/>
          <w:b/>
          <w:bCs/>
          <w:noProof w:val="0"/>
          <w:rtl/>
        </w:rPr>
        <w:t xml:space="preserve">טענה </w:t>
      </w:r>
      <w:r>
        <w:rPr>
          <w:rFonts w:ascii="David" w:eastAsia="Calibri" w:hAnsi="David" w:hint="cs"/>
          <w:b/>
          <w:bCs/>
          <w:noProof w:val="0"/>
          <w:rtl/>
        </w:rPr>
        <w:t>בדבר התוספת האמורה</w:t>
      </w:r>
      <w:r w:rsidRPr="00396CE8">
        <w:rPr>
          <w:rFonts w:ascii="David" w:eastAsia="Calibri" w:hAnsi="David" w:hint="cs"/>
          <w:b/>
          <w:bCs/>
          <w:noProof w:val="0"/>
          <w:rtl/>
        </w:rPr>
        <w:t>, שנזנחה כאמור על ידי הנתבעת, לא הוכחה כדבעי ולפיכך נדחית</w:t>
      </w:r>
      <w:r w:rsidR="00C924AE">
        <w:rPr>
          <w:rFonts w:ascii="David" w:eastAsia="Calibri" w:hAnsi="David" w:hint="cs"/>
          <w:b/>
          <w:bCs/>
          <w:noProof w:val="0"/>
          <w:rtl/>
        </w:rPr>
        <w:t xml:space="preserve"> גם לגופה</w:t>
      </w:r>
      <w:r w:rsidRPr="00396CE8">
        <w:rPr>
          <w:rFonts w:ascii="David" w:eastAsia="Calibri" w:hAnsi="David" w:hint="cs"/>
          <w:b/>
          <w:bCs/>
          <w:noProof w:val="0"/>
          <w:rtl/>
        </w:rPr>
        <w:t>.</w:t>
      </w:r>
    </w:p>
    <w:p w:rsidR="001956B0" w:rsidRPr="001956B0" w:rsidRDefault="001956B0" w:rsidP="001956B0">
      <w:pPr>
        <w:spacing w:after="160" w:line="256" w:lineRule="auto"/>
        <w:ind w:left="720"/>
        <w:contextualSpacing/>
        <w:rPr>
          <w:rFonts w:ascii="David" w:eastAsia="Calibri" w:hAnsi="David"/>
          <w:noProof w:val="0"/>
        </w:rPr>
      </w:pPr>
    </w:p>
    <w:p w:rsidR="00192B54" w:rsidRPr="0076725E" w:rsidRDefault="00396CE8" w:rsidP="0076725E">
      <w:pPr>
        <w:spacing w:line="360" w:lineRule="auto"/>
        <w:jc w:val="both"/>
        <w:rPr>
          <w:rFonts w:ascii="David" w:eastAsia="Calibri" w:hAnsi="David"/>
          <w:b/>
          <w:bCs/>
          <w:noProof w:val="0"/>
          <w:sz w:val="26"/>
          <w:szCs w:val="26"/>
          <w:u w:val="single"/>
          <w:rtl/>
        </w:rPr>
      </w:pPr>
      <w:r w:rsidRPr="006C2FD0">
        <w:rPr>
          <w:rFonts w:ascii="David" w:eastAsia="Calibri" w:hAnsi="David" w:hint="cs"/>
          <w:b/>
          <w:bCs/>
          <w:noProof w:val="0"/>
          <w:sz w:val="26"/>
          <w:szCs w:val="26"/>
          <w:u w:val="single"/>
          <w:rtl/>
        </w:rPr>
        <w:t>חישוב</w:t>
      </w:r>
      <w:r w:rsidR="001956B0" w:rsidRPr="006C2FD0">
        <w:rPr>
          <w:rFonts w:ascii="David" w:eastAsia="Calibri" w:hAnsi="David"/>
          <w:b/>
          <w:bCs/>
          <w:noProof w:val="0"/>
          <w:sz w:val="26"/>
          <w:szCs w:val="26"/>
          <w:u w:val="single"/>
          <w:rtl/>
        </w:rPr>
        <w:t xml:space="preserve"> </w:t>
      </w:r>
      <w:r w:rsidRPr="006C2FD0">
        <w:rPr>
          <w:rFonts w:ascii="David" w:eastAsia="Calibri" w:hAnsi="David" w:hint="cs"/>
          <w:b/>
          <w:bCs/>
          <w:noProof w:val="0"/>
          <w:sz w:val="26"/>
          <w:szCs w:val="26"/>
          <w:u w:val="single"/>
          <w:rtl/>
        </w:rPr>
        <w:t xml:space="preserve">תוחלת החיים </w:t>
      </w:r>
      <w:r w:rsidR="001956B0" w:rsidRPr="006C2FD0">
        <w:rPr>
          <w:rFonts w:ascii="David" w:eastAsia="Calibri" w:hAnsi="David"/>
          <w:b/>
          <w:bCs/>
          <w:noProof w:val="0"/>
          <w:sz w:val="26"/>
          <w:szCs w:val="26"/>
          <w:u w:val="single"/>
          <w:rtl/>
        </w:rPr>
        <w:t>של הנתבעת עד לגיל 84</w:t>
      </w:r>
      <w:r w:rsidRPr="006C2FD0">
        <w:rPr>
          <w:rFonts w:ascii="David" w:eastAsia="Calibri" w:hAnsi="David" w:hint="cs"/>
          <w:b/>
          <w:bCs/>
          <w:noProof w:val="0"/>
          <w:sz w:val="26"/>
          <w:szCs w:val="26"/>
          <w:u w:val="single"/>
          <w:rtl/>
        </w:rPr>
        <w:t>, והתובע עד לגיל 81</w:t>
      </w:r>
      <w:r w:rsidR="00B229A7" w:rsidRPr="006C2FD0">
        <w:rPr>
          <w:rFonts w:ascii="David" w:eastAsia="Calibri" w:hAnsi="David" w:hint="cs"/>
          <w:b/>
          <w:bCs/>
          <w:noProof w:val="0"/>
          <w:sz w:val="26"/>
          <w:szCs w:val="26"/>
          <w:u w:val="single"/>
          <w:rtl/>
        </w:rPr>
        <w:t xml:space="preserve"> וחבות בקצבת שארים</w:t>
      </w:r>
    </w:p>
    <w:p w:rsidR="001956B0" w:rsidRPr="001956B0" w:rsidRDefault="001956B0" w:rsidP="001956B0">
      <w:pPr>
        <w:spacing w:after="160" w:line="256" w:lineRule="auto"/>
        <w:ind w:left="720"/>
        <w:contextualSpacing/>
        <w:rPr>
          <w:rFonts w:ascii="David" w:eastAsia="Calibri" w:hAnsi="David"/>
          <w:noProof w:val="0"/>
        </w:rPr>
      </w:pPr>
    </w:p>
    <w:p w:rsidR="001D6BB3" w:rsidRPr="001D6BB3" w:rsidRDefault="001D6BB3" w:rsidP="004F2AF5">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לשם </w:t>
      </w:r>
      <w:r w:rsidR="00143975">
        <w:rPr>
          <w:rFonts w:ascii="David" w:eastAsia="Calibri" w:hAnsi="David" w:hint="cs"/>
          <w:noProof w:val="0"/>
          <w:rtl/>
        </w:rPr>
        <w:t>ה</w:t>
      </w:r>
      <w:r>
        <w:rPr>
          <w:rFonts w:ascii="David" w:eastAsia="Calibri" w:hAnsi="David" w:hint="cs"/>
          <w:noProof w:val="0"/>
          <w:rtl/>
        </w:rPr>
        <w:t xml:space="preserve">גדרת הזכות </w:t>
      </w:r>
      <w:r w:rsidR="00143975">
        <w:rPr>
          <w:rFonts w:ascii="David" w:eastAsia="Calibri" w:hAnsi="David" w:hint="cs"/>
          <w:noProof w:val="0"/>
          <w:rtl/>
        </w:rPr>
        <w:t xml:space="preserve">של כל אחד מהצדדים, אותה הוסכם כאמור להוון, </w:t>
      </w:r>
      <w:r>
        <w:rPr>
          <w:rFonts w:ascii="David" w:eastAsia="Calibri" w:hAnsi="David" w:hint="cs"/>
          <w:noProof w:val="0"/>
          <w:rtl/>
        </w:rPr>
        <w:t>יש לקבוע מהו מועד סיום הזכאות</w:t>
      </w:r>
      <w:r w:rsidR="00143975">
        <w:rPr>
          <w:rFonts w:ascii="David" w:eastAsia="Calibri" w:hAnsi="David" w:hint="cs"/>
          <w:noProof w:val="0"/>
          <w:rtl/>
        </w:rPr>
        <w:t xml:space="preserve"> של כל אחד מהצדדים לקבלת </w:t>
      </w:r>
      <w:r w:rsidR="006C2FD0">
        <w:rPr>
          <w:rFonts w:ascii="David" w:eastAsia="Calibri" w:hAnsi="David" w:hint="cs"/>
          <w:noProof w:val="0"/>
          <w:rtl/>
        </w:rPr>
        <w:t>הקצבה</w:t>
      </w:r>
      <w:r>
        <w:rPr>
          <w:rFonts w:ascii="David" w:eastAsia="Calibri" w:hAnsi="David" w:hint="cs"/>
          <w:noProof w:val="0"/>
          <w:rtl/>
        </w:rPr>
        <w:t>. בהיעדר קביעה מפורשת בהסכם בין הצדדים לעניין זה, פעל המומחה בהתאם להנחות של תוחלת החיים. הצדדים חלוקים אף בסוגיה זו.</w:t>
      </w:r>
    </w:p>
    <w:p w:rsidR="001D6BB3" w:rsidRPr="001D6BB3" w:rsidRDefault="001D6BB3" w:rsidP="001D6BB3">
      <w:pPr>
        <w:spacing w:after="160" w:line="360" w:lineRule="auto"/>
        <w:ind w:left="720"/>
        <w:contextualSpacing/>
        <w:jc w:val="both"/>
        <w:rPr>
          <w:rFonts w:ascii="David" w:eastAsia="Calibri" w:hAnsi="David"/>
          <w:noProof w:val="0"/>
        </w:rPr>
      </w:pPr>
    </w:p>
    <w:p w:rsidR="00A3038B" w:rsidRPr="00D5218A" w:rsidRDefault="001956B0" w:rsidP="004F2AF5">
      <w:pPr>
        <w:numPr>
          <w:ilvl w:val="0"/>
          <w:numId w:val="1"/>
        </w:numPr>
        <w:spacing w:after="160" w:line="360" w:lineRule="auto"/>
        <w:ind w:hanging="579"/>
        <w:contextualSpacing/>
        <w:jc w:val="both"/>
        <w:rPr>
          <w:rFonts w:ascii="David" w:eastAsia="Calibri" w:hAnsi="David"/>
          <w:noProof w:val="0"/>
        </w:rPr>
      </w:pPr>
      <w:r w:rsidRPr="00D5218A">
        <w:rPr>
          <w:rFonts w:ascii="David" w:eastAsia="Calibri" w:hAnsi="David"/>
          <w:b/>
          <w:bCs/>
          <w:noProof w:val="0"/>
          <w:rtl/>
        </w:rPr>
        <w:lastRenderedPageBreak/>
        <w:t>לטענת הנתבעת</w:t>
      </w:r>
      <w:r w:rsidRPr="00D5218A">
        <w:rPr>
          <w:rFonts w:ascii="David" w:eastAsia="Calibri" w:hAnsi="David"/>
          <w:noProof w:val="0"/>
          <w:rtl/>
        </w:rPr>
        <w:t xml:space="preserve"> המומחה היוון את הפנסיה של התובע עד גיל 81 ואילו את שלה עד גיל 84. בנסיבות אלה, ככל שהתובע ילך לעולמו בגיל 81 הנתבעת עדיין תהיה בין החיים וצפויות לה לפי הערכות המומחה עוד 6 שנות חיים (עד גיל 84) – שנים בהן</w:t>
      </w:r>
      <w:r w:rsidR="00356F62" w:rsidRPr="00D5218A">
        <w:rPr>
          <w:rFonts w:ascii="David" w:eastAsia="Calibri" w:hAnsi="David" w:hint="cs"/>
          <w:noProof w:val="0"/>
          <w:rtl/>
        </w:rPr>
        <w:t>,</w:t>
      </w:r>
      <w:r w:rsidRPr="00D5218A">
        <w:rPr>
          <w:rFonts w:ascii="David" w:eastAsia="Calibri" w:hAnsi="David"/>
          <w:noProof w:val="0"/>
          <w:rtl/>
        </w:rPr>
        <w:t xml:space="preserve"> </w:t>
      </w:r>
      <w:r w:rsidR="00356F62" w:rsidRPr="00D5218A">
        <w:rPr>
          <w:rFonts w:ascii="David" w:eastAsia="Calibri" w:hAnsi="David" w:hint="cs"/>
          <w:noProof w:val="0"/>
          <w:rtl/>
        </w:rPr>
        <w:t xml:space="preserve">לטענתה, </w:t>
      </w:r>
      <w:r w:rsidRPr="00D5218A">
        <w:rPr>
          <w:rFonts w:ascii="David" w:eastAsia="Calibri" w:hAnsi="David"/>
          <w:noProof w:val="0"/>
          <w:rtl/>
        </w:rPr>
        <w:t xml:space="preserve">היא זכאית </w:t>
      </w:r>
      <w:r w:rsidR="00356F62" w:rsidRPr="00D5218A">
        <w:rPr>
          <w:rFonts w:ascii="David" w:eastAsia="Calibri" w:hAnsi="David"/>
          <w:noProof w:val="0"/>
          <w:rtl/>
        </w:rPr>
        <w:t xml:space="preserve">לקצבת שארים </w:t>
      </w:r>
      <w:r w:rsidR="00F32538" w:rsidRPr="00D5218A">
        <w:rPr>
          <w:rFonts w:ascii="David" w:eastAsia="Calibri" w:hAnsi="David" w:hint="cs"/>
          <w:noProof w:val="0"/>
          <w:rtl/>
        </w:rPr>
        <w:t xml:space="preserve">וזאת </w:t>
      </w:r>
      <w:r w:rsidRPr="00D5218A">
        <w:rPr>
          <w:rFonts w:ascii="David" w:eastAsia="Calibri" w:hAnsi="David"/>
          <w:noProof w:val="0"/>
          <w:rtl/>
        </w:rPr>
        <w:t xml:space="preserve">על פי החוק לחלוקת חיסכון פנסיוני. לטענתה, כאשר המומחה היוון את הפנסיה של התובע רק עד גיל 81 הוא החסיר ממנה 6 שנים בהן היא אמורה עדיין לקבל פנסיה ומשכך </w:t>
      </w:r>
      <w:r w:rsidRPr="00D5218A">
        <w:rPr>
          <w:rFonts w:ascii="David" w:eastAsia="Calibri" w:hAnsi="David"/>
          <w:b/>
          <w:bCs/>
          <w:noProof w:val="0"/>
          <w:rtl/>
        </w:rPr>
        <w:t xml:space="preserve">יש להורות לו לחשב </w:t>
      </w:r>
      <w:r w:rsidR="00F32538" w:rsidRPr="00D5218A">
        <w:rPr>
          <w:rFonts w:ascii="David" w:eastAsia="Calibri" w:hAnsi="David" w:hint="cs"/>
          <w:b/>
          <w:bCs/>
          <w:noProof w:val="0"/>
          <w:rtl/>
        </w:rPr>
        <w:t xml:space="preserve">עבור שנים אלו </w:t>
      </w:r>
      <w:r w:rsidRPr="00D5218A">
        <w:rPr>
          <w:rFonts w:ascii="David" w:eastAsia="Calibri" w:hAnsi="David"/>
          <w:b/>
          <w:bCs/>
          <w:noProof w:val="0"/>
          <w:rtl/>
        </w:rPr>
        <w:t>את ער</w:t>
      </w:r>
      <w:r w:rsidR="00F32538" w:rsidRPr="00D5218A">
        <w:rPr>
          <w:rFonts w:ascii="David" w:eastAsia="Calibri" w:hAnsi="David" w:hint="cs"/>
          <w:b/>
          <w:bCs/>
          <w:noProof w:val="0"/>
          <w:rtl/>
        </w:rPr>
        <w:t xml:space="preserve">ך זכויותיה </w:t>
      </w:r>
      <w:r w:rsidR="00D5218A" w:rsidRPr="00D5218A">
        <w:rPr>
          <w:rFonts w:ascii="David" w:eastAsia="Calibri" w:hAnsi="David" w:hint="cs"/>
          <w:b/>
          <w:bCs/>
          <w:noProof w:val="0"/>
          <w:rtl/>
        </w:rPr>
        <w:t xml:space="preserve">בקצבת </w:t>
      </w:r>
      <w:r w:rsidR="00D5218A">
        <w:rPr>
          <w:rFonts w:ascii="David" w:eastAsia="Calibri" w:hAnsi="David" w:hint="cs"/>
          <w:b/>
          <w:bCs/>
          <w:noProof w:val="0"/>
          <w:rtl/>
        </w:rPr>
        <w:t>ה</w:t>
      </w:r>
      <w:r w:rsidRPr="00D5218A">
        <w:rPr>
          <w:rFonts w:ascii="David" w:eastAsia="Calibri" w:hAnsi="David"/>
          <w:b/>
          <w:bCs/>
          <w:noProof w:val="0"/>
          <w:rtl/>
        </w:rPr>
        <w:t xml:space="preserve">שארים </w:t>
      </w:r>
      <w:r w:rsidR="006C2FD0">
        <w:rPr>
          <w:rFonts w:ascii="David" w:eastAsia="Calibri" w:hAnsi="David" w:hint="cs"/>
          <w:b/>
          <w:bCs/>
          <w:noProof w:val="0"/>
          <w:rtl/>
        </w:rPr>
        <w:t xml:space="preserve">של התובע </w:t>
      </w:r>
      <w:r w:rsidRPr="00D5218A">
        <w:rPr>
          <w:rFonts w:ascii="David" w:eastAsia="Calibri" w:hAnsi="David"/>
          <w:b/>
          <w:bCs/>
          <w:noProof w:val="0"/>
          <w:rtl/>
        </w:rPr>
        <w:t xml:space="preserve">על פי השערות תוחלת החיים </w:t>
      </w:r>
      <w:r w:rsidR="00D5218A">
        <w:rPr>
          <w:rFonts w:ascii="David" w:eastAsia="Calibri" w:hAnsi="David" w:hint="cs"/>
          <w:b/>
          <w:bCs/>
          <w:noProof w:val="0"/>
          <w:rtl/>
        </w:rPr>
        <w:t>של</w:t>
      </w:r>
      <w:r w:rsidR="006C2FD0">
        <w:rPr>
          <w:rFonts w:ascii="David" w:eastAsia="Calibri" w:hAnsi="David" w:hint="cs"/>
          <w:b/>
          <w:bCs/>
          <w:noProof w:val="0"/>
          <w:rtl/>
        </w:rPr>
        <w:t xml:space="preserve"> הנתבעת</w:t>
      </w:r>
      <w:r w:rsidR="00D5218A">
        <w:rPr>
          <w:rFonts w:ascii="David" w:eastAsia="Calibri" w:hAnsi="David" w:hint="cs"/>
          <w:b/>
          <w:bCs/>
          <w:noProof w:val="0"/>
          <w:rtl/>
        </w:rPr>
        <w:t xml:space="preserve"> בהן השת</w:t>
      </w:r>
      <w:r w:rsidRPr="00D5218A">
        <w:rPr>
          <w:rFonts w:ascii="David" w:eastAsia="Calibri" w:hAnsi="David"/>
          <w:b/>
          <w:bCs/>
          <w:noProof w:val="0"/>
          <w:rtl/>
        </w:rPr>
        <w:t>מש המומחה</w:t>
      </w:r>
      <w:r w:rsidRPr="00D5218A">
        <w:rPr>
          <w:rFonts w:ascii="David" w:eastAsia="Calibri" w:hAnsi="David"/>
          <w:noProof w:val="0"/>
          <w:rtl/>
        </w:rPr>
        <w:t xml:space="preserve">. </w:t>
      </w:r>
    </w:p>
    <w:p w:rsidR="00A3038B" w:rsidRPr="006C2FD0" w:rsidRDefault="00A3038B" w:rsidP="00A3038B">
      <w:pPr>
        <w:spacing w:after="160" w:line="360" w:lineRule="auto"/>
        <w:ind w:left="720"/>
        <w:contextualSpacing/>
        <w:jc w:val="both"/>
        <w:rPr>
          <w:rFonts w:ascii="David" w:eastAsia="Calibri" w:hAnsi="David"/>
          <w:noProof w:val="0"/>
        </w:rPr>
      </w:pPr>
    </w:p>
    <w:p w:rsidR="001956B0" w:rsidRPr="001956B0" w:rsidRDefault="001956B0" w:rsidP="004F2AF5">
      <w:pPr>
        <w:numPr>
          <w:ilvl w:val="0"/>
          <w:numId w:val="1"/>
        </w:numPr>
        <w:spacing w:after="160" w:line="360" w:lineRule="auto"/>
        <w:ind w:hanging="579"/>
        <w:contextualSpacing/>
        <w:jc w:val="both"/>
        <w:rPr>
          <w:rFonts w:ascii="David" w:eastAsia="Calibri" w:hAnsi="David"/>
          <w:noProof w:val="0"/>
          <w:rtl/>
        </w:rPr>
      </w:pPr>
      <w:r w:rsidRPr="001956B0">
        <w:rPr>
          <w:rFonts w:ascii="David" w:eastAsia="Calibri" w:hAnsi="David"/>
          <w:noProof w:val="0"/>
          <w:rtl/>
        </w:rPr>
        <w:t xml:space="preserve">בהקשר זה הוסיפה וטענה כי </w:t>
      </w:r>
      <w:r w:rsidRPr="00D5218A">
        <w:rPr>
          <w:rFonts w:ascii="David" w:eastAsia="Calibri" w:hAnsi="David"/>
          <w:noProof w:val="0"/>
          <w:rtl/>
        </w:rPr>
        <w:t>תשובת</w:t>
      </w:r>
      <w:r w:rsidRPr="001956B0">
        <w:rPr>
          <w:rFonts w:ascii="David" w:eastAsia="Calibri" w:hAnsi="David"/>
          <w:noProof w:val="0"/>
          <w:rtl/>
        </w:rPr>
        <w:t xml:space="preserve"> המומחה בחקירתו לפיה לבני זוג גרושים לא מגיעה קצבת שארים מבן זוגם לשעבר - אינה נכונה, שכן החוק לחלוקת חיסכון פנסיוני מעניק לה את הזכות לקצבת שארים.</w:t>
      </w:r>
    </w:p>
    <w:p w:rsidR="001956B0" w:rsidRPr="001956B0" w:rsidRDefault="001956B0" w:rsidP="001956B0">
      <w:pPr>
        <w:spacing w:line="360" w:lineRule="auto"/>
        <w:ind w:left="720"/>
        <w:contextualSpacing/>
        <w:jc w:val="both"/>
        <w:rPr>
          <w:rFonts w:ascii="David" w:eastAsia="Calibri" w:hAnsi="David"/>
          <w:noProof w:val="0"/>
        </w:rPr>
      </w:pPr>
    </w:p>
    <w:p w:rsidR="001956B0" w:rsidRPr="001956B0" w:rsidRDefault="00674AE7" w:rsidP="004F2AF5">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לטענתה</w:t>
      </w:r>
      <w:r w:rsidR="00143975">
        <w:rPr>
          <w:rFonts w:ascii="David" w:eastAsia="Calibri" w:hAnsi="David" w:hint="cs"/>
          <w:noProof w:val="0"/>
          <w:rtl/>
        </w:rPr>
        <w:t>,</w:t>
      </w:r>
      <w:r w:rsidR="001956B0" w:rsidRPr="001956B0">
        <w:rPr>
          <w:rFonts w:ascii="David" w:eastAsia="Calibri" w:hAnsi="David"/>
          <w:noProof w:val="0"/>
          <w:rtl/>
        </w:rPr>
        <w:t xml:space="preserve"> כי</w:t>
      </w:r>
      <w:r w:rsidR="00D5218A" w:rsidRPr="00D5218A">
        <w:rPr>
          <w:rtl/>
        </w:rPr>
        <w:t xml:space="preserve"> </w:t>
      </w:r>
      <w:r w:rsidR="00D5218A" w:rsidRPr="00D5218A">
        <w:rPr>
          <w:rFonts w:ascii="David" w:eastAsia="Calibri" w:hAnsi="David"/>
          <w:noProof w:val="0"/>
          <w:rtl/>
        </w:rPr>
        <w:t xml:space="preserve">היה על המומחה להתחשב בתוחלת החיים של </w:t>
      </w:r>
      <w:r w:rsidR="00D5218A" w:rsidRPr="009E5D32">
        <w:rPr>
          <w:rFonts w:ascii="David" w:eastAsia="Calibri" w:hAnsi="David"/>
          <w:b/>
          <w:bCs/>
          <w:noProof w:val="0"/>
          <w:rtl/>
        </w:rPr>
        <w:t>הזכאי</w:t>
      </w:r>
      <w:r w:rsidR="00D5218A" w:rsidRPr="00D5218A">
        <w:rPr>
          <w:rFonts w:ascii="David" w:eastAsia="Calibri" w:hAnsi="David"/>
          <w:noProof w:val="0"/>
          <w:rtl/>
        </w:rPr>
        <w:t xml:space="preserve"> ולא של החייב כפי שעשה; </w:t>
      </w:r>
      <w:r w:rsidR="009E5D32">
        <w:rPr>
          <w:rFonts w:ascii="David" w:eastAsia="Calibri" w:hAnsi="David" w:hint="cs"/>
          <w:noProof w:val="0"/>
          <w:rtl/>
        </w:rPr>
        <w:t>לטענתה,</w:t>
      </w:r>
      <w:r w:rsidR="001956B0" w:rsidRPr="001956B0">
        <w:rPr>
          <w:rFonts w:ascii="David" w:eastAsia="Calibri" w:hAnsi="David"/>
          <w:noProof w:val="0"/>
          <w:rtl/>
        </w:rPr>
        <w:t xml:space="preserve"> מאחר ועל פי הערכת תוחלת החיים של הנתבעת על פי </w:t>
      </w:r>
      <w:r w:rsidR="009E5D32">
        <w:rPr>
          <w:rFonts w:ascii="David" w:eastAsia="Calibri" w:hAnsi="David" w:hint="cs"/>
          <w:noProof w:val="0"/>
          <w:rtl/>
        </w:rPr>
        <w:t xml:space="preserve">הנחת תוחלת החיים של </w:t>
      </w:r>
      <w:r w:rsidR="001956B0" w:rsidRPr="001956B0">
        <w:rPr>
          <w:rFonts w:ascii="David" w:eastAsia="Calibri" w:hAnsi="David"/>
          <w:noProof w:val="0"/>
          <w:rtl/>
        </w:rPr>
        <w:t xml:space="preserve">מומחה היא תהיה כבת 78 במועד הצפוי </w:t>
      </w:r>
      <w:r w:rsidR="00A3038B">
        <w:rPr>
          <w:rFonts w:ascii="David" w:eastAsia="Calibri" w:hAnsi="David" w:hint="cs"/>
          <w:noProof w:val="0"/>
          <w:rtl/>
        </w:rPr>
        <w:t>לאריכות ימיו של</w:t>
      </w:r>
      <w:r w:rsidR="001956B0" w:rsidRPr="001956B0">
        <w:rPr>
          <w:rFonts w:ascii="David" w:eastAsia="Calibri" w:hAnsi="David"/>
          <w:noProof w:val="0"/>
          <w:rtl/>
        </w:rPr>
        <w:t xml:space="preserve"> התובע בגיל 81, דהיינו- יחלפו אז 11 שנים אחרי קבלת הפנסיה, הרי שהמומחה היה אמור להוון רק 11 שנים בהן התובע צפוי ליהנות מחלקו בפנסיה שלה עד הגיעו לגיל 81. מאחר וההיוון נעשה עד הגיעה לגיל 84 הרי שהוא היוון 6 שנים מיותרות בהן התובע כביכול לא ייהנה מהם (לנוכח תוחלת החיים שלו-81). בהתאם לכך עתרה כי המומחה </w:t>
      </w:r>
      <w:r w:rsidR="001956B0" w:rsidRPr="001956B0">
        <w:rPr>
          <w:rFonts w:ascii="David" w:eastAsia="Calibri" w:hAnsi="David"/>
          <w:b/>
          <w:bCs/>
          <w:noProof w:val="0"/>
          <w:rtl/>
        </w:rPr>
        <w:t>יפחית את היוון הפנסיה שלה ב- 6 השנים הנוספות</w:t>
      </w:r>
      <w:r w:rsidR="001956B0" w:rsidRPr="001956B0">
        <w:rPr>
          <w:rFonts w:ascii="David" w:eastAsia="Calibri" w:hAnsi="David"/>
          <w:noProof w:val="0"/>
          <w:rtl/>
        </w:rPr>
        <w:t xml:space="preserve"> בהן העניק לתובע חלק מהפנסיה שלה. </w:t>
      </w:r>
    </w:p>
    <w:p w:rsidR="001956B0" w:rsidRPr="001956B0" w:rsidRDefault="001956B0" w:rsidP="001956B0">
      <w:pPr>
        <w:spacing w:after="160" w:line="256" w:lineRule="auto"/>
        <w:ind w:left="720"/>
        <w:contextualSpacing/>
        <w:rPr>
          <w:rFonts w:ascii="David" w:eastAsia="Calibri" w:hAnsi="David"/>
          <w:noProof w:val="0"/>
        </w:rPr>
      </w:pPr>
    </w:p>
    <w:p w:rsidR="001956B0" w:rsidRPr="00F80BD2" w:rsidRDefault="001956B0" w:rsidP="004F2AF5">
      <w:pPr>
        <w:numPr>
          <w:ilvl w:val="0"/>
          <w:numId w:val="1"/>
        </w:numPr>
        <w:spacing w:after="160" w:line="360" w:lineRule="auto"/>
        <w:ind w:hanging="579"/>
        <w:contextualSpacing/>
        <w:jc w:val="both"/>
        <w:rPr>
          <w:rFonts w:ascii="David" w:eastAsia="Calibri" w:hAnsi="David"/>
          <w:noProof w:val="0"/>
          <w:rtl/>
        </w:rPr>
      </w:pPr>
      <w:r w:rsidRPr="00F80BD2">
        <w:rPr>
          <w:rFonts w:ascii="David" w:eastAsia="Calibri" w:hAnsi="David"/>
          <w:b/>
          <w:bCs/>
          <w:noProof w:val="0"/>
          <w:rtl/>
        </w:rPr>
        <w:lastRenderedPageBreak/>
        <w:t>לשיטת התובע</w:t>
      </w:r>
      <w:r w:rsidRPr="00F80BD2">
        <w:rPr>
          <w:rFonts w:ascii="David" w:eastAsia="Calibri" w:hAnsi="David"/>
          <w:noProof w:val="0"/>
          <w:rtl/>
        </w:rPr>
        <w:t xml:space="preserve">, ההיוון נעשה לפי תוחלת החיים הצפויה של בן הזוג </w:t>
      </w:r>
      <w:r w:rsidRPr="00F80BD2">
        <w:rPr>
          <w:rFonts w:ascii="David" w:eastAsia="Calibri" w:hAnsi="David"/>
          <w:b/>
          <w:bCs/>
          <w:noProof w:val="0"/>
          <w:rtl/>
        </w:rPr>
        <w:t>החייב</w:t>
      </w:r>
      <w:r w:rsidRPr="00F80BD2">
        <w:rPr>
          <w:rFonts w:ascii="David" w:eastAsia="Calibri" w:hAnsi="David"/>
          <w:noProof w:val="0"/>
          <w:rtl/>
        </w:rPr>
        <w:t xml:space="preserve"> ולא של בן הזוג הזכאי</w:t>
      </w:r>
      <w:r w:rsidR="00F80BD2" w:rsidRPr="00F80BD2">
        <w:rPr>
          <w:rFonts w:ascii="David" w:eastAsia="Calibri" w:hAnsi="David" w:hint="cs"/>
          <w:noProof w:val="0"/>
          <w:rtl/>
        </w:rPr>
        <w:t>,</w:t>
      </w:r>
      <w:r w:rsidRPr="00F80BD2">
        <w:rPr>
          <w:rFonts w:ascii="David" w:eastAsia="Calibri" w:hAnsi="David"/>
          <w:noProof w:val="0"/>
          <w:rtl/>
        </w:rPr>
        <w:t xml:space="preserve"> כפי </w:t>
      </w:r>
      <w:r w:rsidR="00F80BD2" w:rsidRPr="00F80BD2">
        <w:rPr>
          <w:rFonts w:ascii="David" w:eastAsia="Calibri" w:hAnsi="David" w:hint="cs"/>
          <w:noProof w:val="0"/>
          <w:rtl/>
        </w:rPr>
        <w:t xml:space="preserve">שטוענת </w:t>
      </w:r>
      <w:r w:rsidRPr="00F80BD2">
        <w:rPr>
          <w:rFonts w:ascii="David" w:eastAsia="Calibri" w:hAnsi="David"/>
          <w:noProof w:val="0"/>
          <w:rtl/>
        </w:rPr>
        <w:t>הנתבעת</w:t>
      </w:r>
      <w:r w:rsidR="00F80BD2" w:rsidRPr="00F80BD2">
        <w:rPr>
          <w:rFonts w:ascii="David" w:eastAsia="Calibri" w:hAnsi="David" w:hint="cs"/>
          <w:noProof w:val="0"/>
          <w:rtl/>
        </w:rPr>
        <w:t xml:space="preserve"> (</w:t>
      </w:r>
      <w:r w:rsidR="00F80BD2" w:rsidRPr="00F80BD2">
        <w:rPr>
          <w:rFonts w:ascii="David" w:eastAsia="Calibri" w:hAnsi="David"/>
          <w:noProof w:val="0"/>
          <w:rtl/>
        </w:rPr>
        <w:t xml:space="preserve">הפנה לעניין זה לע"א 10990/05 </w:t>
      </w:r>
      <w:r w:rsidR="00F80BD2" w:rsidRPr="00F80BD2">
        <w:rPr>
          <w:rFonts w:ascii="David" w:eastAsia="Calibri" w:hAnsi="David"/>
          <w:b/>
          <w:bCs/>
          <w:noProof w:val="0"/>
          <w:rtl/>
        </w:rPr>
        <w:t>פינץ נ' הראל חברה לביטוח בע"מ</w:t>
      </w:r>
      <w:r w:rsidR="00F80BD2" w:rsidRPr="00F80BD2">
        <w:rPr>
          <w:rFonts w:ascii="David" w:eastAsia="Calibri" w:hAnsi="David"/>
          <w:noProof w:val="0"/>
          <w:rtl/>
        </w:rPr>
        <w:t>, פ"ד ס"א(1) 325</w:t>
      </w:r>
      <w:r w:rsidR="00F80BD2" w:rsidRPr="00F80BD2">
        <w:rPr>
          <w:rFonts w:ascii="David" w:eastAsia="Calibri" w:hAnsi="David" w:hint="cs"/>
          <w:noProof w:val="0"/>
          <w:rtl/>
        </w:rPr>
        <w:t xml:space="preserve"> </w:t>
      </w:r>
      <w:r w:rsidR="00F80BD2" w:rsidRPr="00F80BD2">
        <w:rPr>
          <w:rFonts w:ascii="David" w:eastAsia="Calibri" w:hAnsi="David"/>
          <w:noProof w:val="0"/>
          <w:rtl/>
        </w:rPr>
        <w:t>–</w:t>
      </w:r>
      <w:r w:rsidR="00F80BD2" w:rsidRPr="00F80BD2">
        <w:rPr>
          <w:rFonts w:ascii="David" w:eastAsia="Calibri" w:hAnsi="David" w:hint="cs"/>
          <w:noProof w:val="0"/>
          <w:rtl/>
        </w:rPr>
        <w:t xml:space="preserve"> להלן </w:t>
      </w:r>
      <w:r w:rsidR="00F80BD2" w:rsidRPr="00F80BD2">
        <w:rPr>
          <w:rFonts w:ascii="David" w:eastAsia="Calibri" w:hAnsi="David" w:hint="cs"/>
          <w:b/>
          <w:bCs/>
          <w:noProof w:val="0"/>
          <w:rtl/>
        </w:rPr>
        <w:t>עניין פינץ)</w:t>
      </w:r>
      <w:r w:rsidR="00F80BD2" w:rsidRPr="00F80BD2">
        <w:rPr>
          <w:rFonts w:ascii="David" w:eastAsia="Calibri" w:hAnsi="David" w:hint="cs"/>
          <w:noProof w:val="0"/>
          <w:rtl/>
        </w:rPr>
        <w:t xml:space="preserve">; </w:t>
      </w:r>
      <w:r w:rsidR="00F80BD2">
        <w:rPr>
          <w:rFonts w:ascii="David" w:eastAsia="Calibri" w:hAnsi="David" w:hint="cs"/>
          <w:noProof w:val="0"/>
          <w:rtl/>
        </w:rPr>
        <w:t xml:space="preserve"> </w:t>
      </w:r>
      <w:r w:rsidR="00F80BD2" w:rsidRPr="00F80BD2">
        <w:rPr>
          <w:rFonts w:ascii="David" w:eastAsia="Calibri" w:hAnsi="David" w:hint="cs"/>
          <w:noProof w:val="0"/>
          <w:rtl/>
        </w:rPr>
        <w:t xml:space="preserve">לדבריו, </w:t>
      </w:r>
      <w:r w:rsidRPr="00F80BD2">
        <w:rPr>
          <w:rFonts w:ascii="David" w:eastAsia="Calibri" w:hAnsi="David"/>
          <w:noProof w:val="0"/>
          <w:rtl/>
        </w:rPr>
        <w:t xml:space="preserve">הנתבעת לא ביססה טענה זו שמנוגדת לפסיקה, ולא הוכיחה את טענתה לזכאותה לקצבת שארים. טענתה זו אף נדחתה על ידי המומחה בשלוש הזדמנויות – ראשית בסיפא של חוות דעתו (עמ' 5), תשובתו לשאלת הבהרה מס' 5, ובחקירתו בביהמ"ש. </w:t>
      </w:r>
    </w:p>
    <w:p w:rsidR="001956B0" w:rsidRPr="001956B0" w:rsidRDefault="001956B0" w:rsidP="00396CE8">
      <w:pPr>
        <w:spacing w:after="160" w:line="256" w:lineRule="auto"/>
        <w:ind w:left="720" w:hanging="579"/>
        <w:contextualSpacing/>
        <w:rPr>
          <w:rFonts w:ascii="David" w:eastAsia="Calibri" w:hAnsi="David"/>
          <w:noProof w:val="0"/>
        </w:rPr>
      </w:pPr>
    </w:p>
    <w:p w:rsidR="001956B0" w:rsidRPr="001956B0" w:rsidRDefault="001956B0" w:rsidP="004F2AF5">
      <w:pPr>
        <w:numPr>
          <w:ilvl w:val="0"/>
          <w:numId w:val="1"/>
        </w:numPr>
        <w:spacing w:after="160" w:line="360" w:lineRule="auto"/>
        <w:ind w:hanging="579"/>
        <w:contextualSpacing/>
        <w:jc w:val="both"/>
        <w:rPr>
          <w:rFonts w:ascii="David" w:eastAsia="Calibri" w:hAnsi="David"/>
          <w:noProof w:val="0"/>
          <w:rtl/>
        </w:rPr>
      </w:pPr>
      <w:r w:rsidRPr="001956B0">
        <w:rPr>
          <w:rFonts w:ascii="David" w:eastAsia="Calibri" w:hAnsi="David"/>
          <w:noProof w:val="0"/>
          <w:rtl/>
        </w:rPr>
        <w:t xml:space="preserve">בנוגע לקצבת השארים טען התובע כי מעצם טיבה היא אינה חבות של הנפטר העתידי אלא של קרן הפנסיה הרלבנטית ולכן אין מקום לחייבו בקצבת שארים. המומחה אף העיד כי תחשיב של קצבת שארים של התובע לטובת הנתבעת דווקא יגדיל את מצבת הנכסים של הנתבעת לאיזון ובכך אך ירע את מצבה. בכל הנוגע לטענת הנתבעת לפיה המומחה שגה כאשר גרס כי לבני זוג גרושים לא מגיעה קצבת שארים טען התובע כי לא זו טענת המומחה. לדבריו המומחה טען כי לא נהוג להוון את הסכום בשיטת ההיוון וכי זו לא חבות התובע. אלמלא ההיוון, התובע לא היה ניזוק או נפסד כספית מאומה מקצבת השארים שמקבלת הנתבעת, ולכן לא צריך לשלם לה דבר בהיוון. </w:t>
      </w:r>
    </w:p>
    <w:p w:rsidR="001956B0" w:rsidRPr="001956B0" w:rsidRDefault="001956B0" w:rsidP="00396CE8">
      <w:pPr>
        <w:spacing w:after="160" w:line="256" w:lineRule="auto"/>
        <w:ind w:left="720" w:hanging="579"/>
        <w:contextualSpacing/>
        <w:rPr>
          <w:rFonts w:ascii="David" w:eastAsia="Calibri" w:hAnsi="David"/>
          <w:noProof w:val="0"/>
        </w:rPr>
      </w:pPr>
    </w:p>
    <w:p w:rsidR="001956B0" w:rsidRPr="00567878" w:rsidRDefault="001956B0" w:rsidP="004F2AF5">
      <w:pPr>
        <w:numPr>
          <w:ilvl w:val="0"/>
          <w:numId w:val="1"/>
        </w:numPr>
        <w:spacing w:after="160" w:line="360" w:lineRule="auto"/>
        <w:ind w:hanging="579"/>
        <w:contextualSpacing/>
        <w:jc w:val="both"/>
        <w:rPr>
          <w:rFonts w:ascii="David" w:eastAsia="Calibri" w:hAnsi="David"/>
          <w:noProof w:val="0"/>
          <w:rtl/>
        </w:rPr>
      </w:pPr>
      <w:r w:rsidRPr="001956B0">
        <w:rPr>
          <w:rFonts w:ascii="David" w:eastAsia="Calibri" w:hAnsi="David"/>
          <w:noProof w:val="0"/>
          <w:rtl/>
        </w:rPr>
        <w:t xml:space="preserve">עוד טען התובע כי חיבור טענת הנתבעת לפיה גיל חובת פרישה שלה – 67, הוא המחייב לצורך חישוב ההיוון, ביחד עם טענתה לפיה יש לחשב את תחולת החיים שלה בהתחשב בתוחלת החיים שלו, מביאים לכך שהתובע ייהנה (בתחשיב מהוון) מחלקו בפנסיה של האישה למשך 11 שנים בלבד (החל מגיל 70, עת הנתבעת תהיה בת 67, ועד גיל 81) בעוד שהנתבעת תיהנה מהפנסיה שלו במשך 20 שנים (החל מגיל 64 שלה, עת התובע יהיה בגיל 67, ועד גיל 84 שלה). מדובר בתוצאה מעוותת </w:t>
      </w:r>
      <w:r w:rsidRPr="00567878">
        <w:rPr>
          <w:rFonts w:ascii="David" w:eastAsia="Calibri" w:hAnsi="David"/>
          <w:noProof w:val="0"/>
          <w:rtl/>
        </w:rPr>
        <w:t>ואבסורדית במיוחד המנוגדת לשיקולי צדק בהן יש לטעמו להתחשב במקרים מעין אלה (הפנה לעניין זה לע"א 4860/16 פסקאות נ"ג ו-ס"ג לפסק הדין).</w:t>
      </w:r>
    </w:p>
    <w:p w:rsidR="001956B0" w:rsidRPr="001956B0" w:rsidRDefault="001956B0" w:rsidP="00396CE8">
      <w:pPr>
        <w:spacing w:line="360" w:lineRule="auto"/>
        <w:ind w:left="720" w:hanging="579"/>
        <w:contextualSpacing/>
        <w:jc w:val="both"/>
        <w:rPr>
          <w:rFonts w:ascii="David" w:eastAsia="Calibri" w:hAnsi="David"/>
          <w:noProof w:val="0"/>
        </w:rPr>
      </w:pPr>
    </w:p>
    <w:p w:rsidR="00CD5423" w:rsidRDefault="002B762F" w:rsidP="004F2AF5">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בפתח הדיון </w:t>
      </w:r>
      <w:r w:rsidR="009E5D32">
        <w:rPr>
          <w:rFonts w:ascii="David" w:eastAsia="Calibri" w:hAnsi="David" w:hint="cs"/>
          <w:noProof w:val="0"/>
          <w:rtl/>
        </w:rPr>
        <w:t>בסוגיה</w:t>
      </w:r>
      <w:r>
        <w:rPr>
          <w:rFonts w:ascii="David" w:eastAsia="Calibri" w:hAnsi="David" w:hint="cs"/>
          <w:noProof w:val="0"/>
          <w:rtl/>
        </w:rPr>
        <w:t xml:space="preserve"> זו אשוב ואציין כי </w:t>
      </w:r>
      <w:r w:rsidR="009E5D32">
        <w:rPr>
          <w:rFonts w:ascii="David" w:eastAsia="Calibri" w:hAnsi="David" w:hint="cs"/>
          <w:noProof w:val="0"/>
          <w:rtl/>
        </w:rPr>
        <w:t xml:space="preserve">הוראות </w:t>
      </w:r>
      <w:r w:rsidR="00CD5423">
        <w:rPr>
          <w:rFonts w:ascii="David" w:eastAsia="Calibri" w:hAnsi="David" w:hint="cs"/>
          <w:noProof w:val="0"/>
          <w:rtl/>
        </w:rPr>
        <w:t xml:space="preserve">החוק לחלוקת חיסכון פנסיוני </w:t>
      </w:r>
      <w:r w:rsidR="009E5D32">
        <w:rPr>
          <w:rFonts w:ascii="David" w:eastAsia="Calibri" w:hAnsi="David" w:hint="cs"/>
          <w:noProof w:val="0"/>
          <w:rtl/>
        </w:rPr>
        <w:t>אינן רלוונטיות ל</w:t>
      </w:r>
      <w:r w:rsidR="00CD5423">
        <w:rPr>
          <w:rFonts w:ascii="David" w:eastAsia="Calibri" w:hAnsi="David" w:hint="cs"/>
          <w:noProof w:val="0"/>
          <w:rtl/>
        </w:rPr>
        <w:t xml:space="preserve">מקרה דנן, לנוכח </w:t>
      </w:r>
      <w:r>
        <w:rPr>
          <w:rFonts w:ascii="David" w:eastAsia="Calibri" w:hAnsi="David" w:hint="cs"/>
          <w:noProof w:val="0"/>
          <w:rtl/>
        </w:rPr>
        <w:t xml:space="preserve">הסכמת הצדדים </w:t>
      </w:r>
      <w:r w:rsidRPr="005514AF">
        <w:rPr>
          <w:rFonts w:ascii="David" w:eastAsia="Calibri" w:hAnsi="David" w:hint="cs"/>
          <w:b/>
          <w:bCs/>
          <w:noProof w:val="0"/>
          <w:rtl/>
        </w:rPr>
        <w:t>להיוון</w:t>
      </w:r>
      <w:r>
        <w:rPr>
          <w:rFonts w:ascii="David" w:eastAsia="Calibri" w:hAnsi="David" w:hint="cs"/>
          <w:noProof w:val="0"/>
          <w:rtl/>
        </w:rPr>
        <w:t xml:space="preserve"> הזכויות</w:t>
      </w:r>
      <w:r w:rsidR="00CD5423">
        <w:rPr>
          <w:rFonts w:ascii="David" w:eastAsia="Calibri" w:hAnsi="David" w:hint="cs"/>
          <w:noProof w:val="0"/>
          <w:rtl/>
        </w:rPr>
        <w:t xml:space="preserve">; משהסכימו הצדדים על עריכת היוון הסכימו, </w:t>
      </w:r>
      <w:r>
        <w:rPr>
          <w:rFonts w:ascii="David" w:eastAsia="Calibri" w:hAnsi="David" w:hint="cs"/>
          <w:noProof w:val="0"/>
          <w:rtl/>
        </w:rPr>
        <w:t>מכללא</w:t>
      </w:r>
      <w:r w:rsidR="00CD5423">
        <w:rPr>
          <w:rFonts w:ascii="David" w:eastAsia="Calibri" w:hAnsi="David" w:hint="cs"/>
          <w:noProof w:val="0"/>
          <w:rtl/>
        </w:rPr>
        <w:t>,</w:t>
      </w:r>
      <w:r>
        <w:rPr>
          <w:rFonts w:ascii="David" w:eastAsia="Calibri" w:hAnsi="David" w:hint="cs"/>
          <w:noProof w:val="0"/>
          <w:rtl/>
        </w:rPr>
        <w:t xml:space="preserve"> להנחות הגלומות בעריכת היוון, ככל שלא קבעו הוראה אחרת בהסכמה. </w:t>
      </w:r>
    </w:p>
    <w:p w:rsidR="009E5D32" w:rsidRDefault="009E5D32" w:rsidP="009E5D32">
      <w:pPr>
        <w:pStyle w:val="ad"/>
        <w:rPr>
          <w:rFonts w:ascii="David" w:eastAsia="Calibri" w:hAnsi="David"/>
          <w:noProof w:val="0"/>
          <w:rtl/>
        </w:rPr>
      </w:pPr>
    </w:p>
    <w:p w:rsidR="009E5D32" w:rsidRPr="009E5D32" w:rsidRDefault="009E5D32" w:rsidP="004F2AF5">
      <w:pPr>
        <w:numPr>
          <w:ilvl w:val="0"/>
          <w:numId w:val="1"/>
        </w:numPr>
        <w:spacing w:after="160" w:line="360" w:lineRule="auto"/>
        <w:ind w:hanging="579"/>
        <w:contextualSpacing/>
        <w:jc w:val="both"/>
        <w:rPr>
          <w:rFonts w:ascii="David" w:eastAsia="Calibri" w:hAnsi="David"/>
          <w:noProof w:val="0"/>
          <w:rtl/>
        </w:rPr>
      </w:pPr>
      <w:r w:rsidRPr="009E5D32">
        <w:rPr>
          <w:rFonts w:ascii="David" w:eastAsia="Calibri" w:hAnsi="David"/>
          <w:noProof w:val="0"/>
          <w:rtl/>
        </w:rPr>
        <w:t xml:space="preserve">הצדדים לא התייחסו </w:t>
      </w:r>
      <w:r w:rsidR="00043C4F">
        <w:rPr>
          <w:rFonts w:ascii="David" w:eastAsia="Calibri" w:hAnsi="David" w:hint="cs"/>
          <w:noProof w:val="0"/>
          <w:rtl/>
        </w:rPr>
        <w:t xml:space="preserve">במסגרת ההסכם שקיבל תוקף של החלטה </w:t>
      </w:r>
      <w:r w:rsidRPr="009E5D32">
        <w:rPr>
          <w:rFonts w:ascii="David" w:eastAsia="Calibri" w:hAnsi="David"/>
          <w:noProof w:val="0"/>
          <w:rtl/>
        </w:rPr>
        <w:t xml:space="preserve">לסוגיית תוחלת החיים </w:t>
      </w:r>
      <w:r w:rsidR="00043C4F">
        <w:rPr>
          <w:rFonts w:ascii="David" w:eastAsia="Calibri" w:hAnsi="David" w:hint="cs"/>
          <w:noProof w:val="0"/>
          <w:rtl/>
        </w:rPr>
        <w:t>ולא קבעו הוראות ספציפיו</w:t>
      </w:r>
      <w:r w:rsidR="00043C4F">
        <w:rPr>
          <w:rFonts w:ascii="David" w:eastAsia="Calibri" w:hAnsi="David" w:hint="eastAsia"/>
          <w:noProof w:val="0"/>
          <w:rtl/>
        </w:rPr>
        <w:t>ת</w:t>
      </w:r>
      <w:r w:rsidR="00043C4F">
        <w:rPr>
          <w:rFonts w:ascii="David" w:eastAsia="Calibri" w:hAnsi="David" w:hint="cs"/>
          <w:noProof w:val="0"/>
          <w:rtl/>
        </w:rPr>
        <w:t xml:space="preserve"> לעניין זה</w:t>
      </w:r>
      <w:r w:rsidRPr="009E5D32">
        <w:rPr>
          <w:rFonts w:ascii="David" w:eastAsia="Calibri" w:hAnsi="David"/>
          <w:noProof w:val="0"/>
          <w:rtl/>
        </w:rPr>
        <w:t>, ולפיכך ההנחות המקובלות הן הרלוונטיות לעניינם.</w:t>
      </w:r>
    </w:p>
    <w:p w:rsidR="00CD5423" w:rsidRDefault="00CD5423" w:rsidP="00CD5423">
      <w:pPr>
        <w:pStyle w:val="ad"/>
        <w:rPr>
          <w:rFonts w:ascii="David" w:eastAsia="Calibri" w:hAnsi="David"/>
          <w:noProof w:val="0"/>
          <w:rtl/>
        </w:rPr>
      </w:pPr>
    </w:p>
    <w:p w:rsidR="00C62DF7" w:rsidRPr="00C62DF7" w:rsidRDefault="00C62DF7" w:rsidP="004F2AF5">
      <w:pPr>
        <w:numPr>
          <w:ilvl w:val="0"/>
          <w:numId w:val="1"/>
        </w:numPr>
        <w:spacing w:after="160" w:line="360" w:lineRule="auto"/>
        <w:ind w:hanging="579"/>
        <w:contextualSpacing/>
        <w:jc w:val="both"/>
        <w:rPr>
          <w:rFonts w:ascii="David" w:eastAsia="Calibri" w:hAnsi="David"/>
          <w:noProof w:val="0"/>
          <w:rtl/>
        </w:rPr>
      </w:pPr>
      <w:r w:rsidRPr="009E5D32">
        <w:rPr>
          <w:rFonts w:ascii="David" w:eastAsia="Calibri" w:hAnsi="David"/>
          <w:b/>
          <w:bCs/>
          <w:noProof w:val="0"/>
          <w:rtl/>
        </w:rPr>
        <w:t>המומחה</w:t>
      </w:r>
      <w:r w:rsidRPr="00C62DF7">
        <w:rPr>
          <w:rFonts w:ascii="David" w:eastAsia="Calibri" w:hAnsi="David"/>
          <w:noProof w:val="0"/>
          <w:rtl/>
        </w:rPr>
        <w:t xml:space="preserve"> העיד בחקירתו כי "</w:t>
      </w:r>
      <w:r w:rsidRPr="00C55821">
        <w:rPr>
          <w:rFonts w:ascii="David" w:eastAsia="Calibri" w:hAnsi="David"/>
          <w:b/>
          <w:bCs/>
          <w:noProof w:val="0"/>
          <w:rtl/>
        </w:rPr>
        <w:t>בשיטת ההיוון ליום הקרע מחשבים עד תוחלת חיים ממוצע של הצדדים בלי להתייחס לתקופת חיים נוספת של בן הזוג השני, גם בתיק זה, היות שהנתבעת תהיה בחיים מקבלת חלק יחסי מהבעל עד שנפטר בגין 81</w:t>
      </w:r>
      <w:r w:rsidRPr="00C62DF7">
        <w:rPr>
          <w:rFonts w:ascii="David" w:eastAsia="Calibri" w:hAnsi="David"/>
          <w:noProof w:val="0"/>
          <w:rtl/>
        </w:rPr>
        <w:t>" (שורות 31-33 עמ' 24 לפרוט').; "</w:t>
      </w:r>
      <w:r w:rsidRPr="006C3318">
        <w:rPr>
          <w:rFonts w:ascii="David" w:eastAsia="Calibri" w:hAnsi="David"/>
          <w:b/>
          <w:bCs/>
          <w:noProof w:val="0"/>
          <w:rtl/>
        </w:rPr>
        <w:t>אף אחד לא יודע מתי יגיע יומו צורת חישובים המקובלת עד תוחלת החיים הממוצעת לגברים ולנשים</w:t>
      </w:r>
      <w:r w:rsidRPr="00C62DF7">
        <w:rPr>
          <w:rFonts w:ascii="David" w:eastAsia="Calibri" w:hAnsi="David"/>
          <w:noProof w:val="0"/>
          <w:rtl/>
        </w:rPr>
        <w:t>" (שורה 1 עמ' 25 לפרוט'); "</w:t>
      </w:r>
      <w:r w:rsidRPr="00C55821">
        <w:rPr>
          <w:rFonts w:ascii="David" w:eastAsia="Calibri" w:hAnsi="David"/>
          <w:b/>
          <w:bCs/>
          <w:noProof w:val="0"/>
          <w:rtl/>
        </w:rPr>
        <w:t>החישובים כוללים נכס מהוון עד הגיל הממוצע של גברים ונשים חיים ללא תלות בצד השני ובגיל הפטירה בפועל</w:t>
      </w:r>
      <w:r w:rsidRPr="00C62DF7">
        <w:rPr>
          <w:rFonts w:ascii="David" w:eastAsia="Calibri" w:hAnsi="David"/>
          <w:noProof w:val="0"/>
          <w:rtl/>
        </w:rPr>
        <w:t>" (שורות 8-9 עמ' 25 לפרוט').</w:t>
      </w:r>
    </w:p>
    <w:p w:rsidR="00C62DF7" w:rsidRPr="00C62DF7" w:rsidRDefault="00C62DF7" w:rsidP="00C62DF7">
      <w:pPr>
        <w:spacing w:after="160" w:line="360" w:lineRule="auto"/>
        <w:ind w:left="720"/>
        <w:contextualSpacing/>
        <w:jc w:val="both"/>
        <w:rPr>
          <w:rFonts w:ascii="David" w:eastAsia="Calibri" w:hAnsi="David"/>
          <w:noProof w:val="0"/>
          <w:rtl/>
        </w:rPr>
      </w:pPr>
    </w:p>
    <w:p w:rsidR="005514AF" w:rsidRDefault="00C62DF7" w:rsidP="004F2AF5">
      <w:pPr>
        <w:numPr>
          <w:ilvl w:val="0"/>
          <w:numId w:val="1"/>
        </w:numPr>
        <w:spacing w:after="160" w:line="360" w:lineRule="auto"/>
        <w:ind w:hanging="579"/>
        <w:contextualSpacing/>
        <w:jc w:val="both"/>
        <w:rPr>
          <w:rFonts w:ascii="David" w:eastAsia="Calibri" w:hAnsi="David"/>
          <w:noProof w:val="0"/>
        </w:rPr>
      </w:pPr>
      <w:r w:rsidRPr="00C62DF7">
        <w:rPr>
          <w:rFonts w:ascii="David" w:eastAsia="Calibri" w:hAnsi="David"/>
          <w:noProof w:val="0"/>
          <w:rtl/>
        </w:rPr>
        <w:t>הסבריו של המומחה ברורים ולפיהם הדרך בה נקט לחישוב תוחלת החיים של הצדדים לצורך היוון הזכויות</w:t>
      </w:r>
      <w:r w:rsidR="00E468E3">
        <w:rPr>
          <w:rFonts w:ascii="David" w:eastAsia="Calibri" w:hAnsi="David" w:hint="cs"/>
          <w:noProof w:val="0"/>
          <w:rtl/>
        </w:rPr>
        <w:t xml:space="preserve"> על פי תוחלת החיים של החייב</w:t>
      </w:r>
      <w:r w:rsidR="00674AE7">
        <w:rPr>
          <w:rFonts w:ascii="David" w:eastAsia="Calibri" w:hAnsi="David" w:hint="cs"/>
          <w:noProof w:val="0"/>
          <w:rtl/>
        </w:rPr>
        <w:t xml:space="preserve"> (בעל הזכות)</w:t>
      </w:r>
      <w:r w:rsidRPr="00C62DF7">
        <w:rPr>
          <w:rFonts w:ascii="David" w:eastAsia="Calibri" w:hAnsi="David"/>
          <w:noProof w:val="0"/>
          <w:rtl/>
        </w:rPr>
        <w:t xml:space="preserve"> היא הנוהגת והמקובלת. לא מצאתי כי עלה בידי הנתבעת להפריך עמדה זו</w:t>
      </w:r>
      <w:r w:rsidR="005514AF">
        <w:rPr>
          <w:rFonts w:ascii="David" w:eastAsia="Calibri" w:hAnsi="David" w:hint="cs"/>
          <w:noProof w:val="0"/>
          <w:rtl/>
        </w:rPr>
        <w:t>.</w:t>
      </w:r>
    </w:p>
    <w:p w:rsidR="00674AE7" w:rsidRDefault="00674AE7" w:rsidP="00674AE7">
      <w:pPr>
        <w:pStyle w:val="ad"/>
        <w:rPr>
          <w:rFonts w:ascii="David" w:eastAsia="Calibri" w:hAnsi="David"/>
          <w:noProof w:val="0"/>
          <w:rtl/>
        </w:rPr>
      </w:pPr>
    </w:p>
    <w:p w:rsidR="005514AF" w:rsidRDefault="00674AE7" w:rsidP="004F2AF5">
      <w:pPr>
        <w:numPr>
          <w:ilvl w:val="0"/>
          <w:numId w:val="1"/>
        </w:numPr>
        <w:spacing w:after="160" w:line="360" w:lineRule="auto"/>
        <w:ind w:hanging="579"/>
        <w:contextualSpacing/>
        <w:jc w:val="both"/>
        <w:rPr>
          <w:rFonts w:ascii="David" w:eastAsia="Calibri" w:hAnsi="David"/>
          <w:noProof w:val="0"/>
        </w:rPr>
      </w:pPr>
      <w:r w:rsidRPr="003C3948">
        <w:rPr>
          <w:rFonts w:ascii="David" w:eastAsia="Calibri" w:hAnsi="David" w:hint="cs"/>
          <w:noProof w:val="0"/>
          <w:rtl/>
        </w:rPr>
        <w:t>כפי שהוסבר לעיל, לצורך ביצוע ההיוון יש לבחון ולהגדיר מה גובה הזכות של כל אחד מהצדדים, זכות הנבחנת על פי תוחלת החיים שלו</w:t>
      </w:r>
      <w:r w:rsidR="003C3948">
        <w:rPr>
          <w:rFonts w:ascii="David" w:eastAsia="Calibri" w:hAnsi="David" w:hint="cs"/>
          <w:noProof w:val="0"/>
          <w:rtl/>
        </w:rPr>
        <w:t xml:space="preserve"> עצמו</w:t>
      </w:r>
      <w:r w:rsidRPr="003C3948">
        <w:rPr>
          <w:rFonts w:ascii="David" w:eastAsia="Calibri" w:hAnsi="David" w:hint="cs"/>
          <w:noProof w:val="0"/>
          <w:rtl/>
        </w:rPr>
        <w:t xml:space="preserve">, ולא של בן הזוג. רק לאחר </w:t>
      </w:r>
      <w:r w:rsidR="003C3948">
        <w:rPr>
          <w:rFonts w:ascii="David" w:eastAsia="Calibri" w:hAnsi="David" w:hint="cs"/>
          <w:noProof w:val="0"/>
          <w:rtl/>
        </w:rPr>
        <w:t xml:space="preserve">שנגדיר </w:t>
      </w:r>
      <w:r w:rsidRPr="003C3948">
        <w:rPr>
          <w:rFonts w:ascii="David" w:eastAsia="Calibri" w:hAnsi="David" w:hint="cs"/>
          <w:noProof w:val="0"/>
          <w:rtl/>
        </w:rPr>
        <w:t xml:space="preserve"> את </w:t>
      </w:r>
      <w:r w:rsidR="003C3948">
        <w:rPr>
          <w:rFonts w:ascii="David" w:eastAsia="Calibri" w:hAnsi="David" w:hint="cs"/>
          <w:noProof w:val="0"/>
          <w:rtl/>
        </w:rPr>
        <w:t xml:space="preserve">גובה </w:t>
      </w:r>
      <w:r w:rsidRPr="003C3948">
        <w:rPr>
          <w:rFonts w:ascii="David" w:eastAsia="Calibri" w:hAnsi="David" w:hint="cs"/>
          <w:noProof w:val="0"/>
          <w:rtl/>
        </w:rPr>
        <w:t xml:space="preserve">הזכות ניתן </w:t>
      </w:r>
      <w:r w:rsidR="003C3948">
        <w:rPr>
          <w:rFonts w:ascii="David" w:eastAsia="Calibri" w:hAnsi="David" w:hint="cs"/>
          <w:noProof w:val="0"/>
          <w:rtl/>
        </w:rPr>
        <w:t xml:space="preserve">יהא </w:t>
      </w:r>
      <w:r w:rsidRPr="003C3948">
        <w:rPr>
          <w:rFonts w:ascii="David" w:eastAsia="Calibri" w:hAnsi="David" w:hint="cs"/>
          <w:noProof w:val="0"/>
          <w:rtl/>
        </w:rPr>
        <w:t>לבחון מה חלקו של בן הזוג</w:t>
      </w:r>
      <w:r w:rsidR="003C3948">
        <w:rPr>
          <w:rFonts w:ascii="David" w:eastAsia="Calibri" w:hAnsi="David" w:hint="cs"/>
          <w:noProof w:val="0"/>
          <w:rtl/>
        </w:rPr>
        <w:t>, אשר תוחלת חייו אינה רלוונטית להגדרת הזכות</w:t>
      </w:r>
      <w:r w:rsidRPr="003C3948">
        <w:rPr>
          <w:rFonts w:ascii="David" w:eastAsia="Calibri" w:hAnsi="David" w:hint="cs"/>
          <w:noProof w:val="0"/>
          <w:rtl/>
        </w:rPr>
        <w:t xml:space="preserve">. </w:t>
      </w:r>
    </w:p>
    <w:p w:rsidR="003C3948" w:rsidRPr="003C3948" w:rsidRDefault="003C3948" w:rsidP="003C3948">
      <w:pPr>
        <w:pStyle w:val="ad"/>
        <w:rPr>
          <w:rFonts w:ascii="David" w:eastAsia="Calibri" w:hAnsi="David"/>
          <w:noProof w:val="0"/>
          <w:rtl/>
        </w:rPr>
      </w:pPr>
    </w:p>
    <w:p w:rsidR="00045571" w:rsidRPr="00045571" w:rsidRDefault="005514AF" w:rsidP="004F2AF5">
      <w:pPr>
        <w:numPr>
          <w:ilvl w:val="0"/>
          <w:numId w:val="1"/>
        </w:numPr>
        <w:spacing w:after="160" w:line="360" w:lineRule="auto"/>
        <w:ind w:hanging="579"/>
        <w:contextualSpacing/>
        <w:jc w:val="both"/>
        <w:rPr>
          <w:rFonts w:ascii="David" w:eastAsia="Calibri" w:hAnsi="David"/>
          <w:noProof w:val="0"/>
        </w:rPr>
      </w:pPr>
      <w:r w:rsidRPr="00045571">
        <w:rPr>
          <w:rFonts w:ascii="David" w:eastAsia="Calibri" w:hAnsi="David" w:hint="cs"/>
          <w:noProof w:val="0"/>
          <w:rtl/>
        </w:rPr>
        <w:t xml:space="preserve">הפסיקה </w:t>
      </w:r>
      <w:r w:rsidR="007D5EDE" w:rsidRPr="00045571">
        <w:rPr>
          <w:rFonts w:ascii="David" w:eastAsia="Calibri" w:hAnsi="David" w:hint="cs"/>
          <w:noProof w:val="0"/>
          <w:rtl/>
        </w:rPr>
        <w:t>המובאת</w:t>
      </w:r>
      <w:r w:rsidR="0004126E" w:rsidRPr="00045571">
        <w:rPr>
          <w:rFonts w:ascii="David" w:eastAsia="Calibri" w:hAnsi="David" w:hint="cs"/>
          <w:noProof w:val="0"/>
          <w:rtl/>
        </w:rPr>
        <w:t xml:space="preserve"> בסיכומי ה</w:t>
      </w:r>
      <w:r w:rsidRPr="00045571">
        <w:rPr>
          <w:rFonts w:ascii="David" w:eastAsia="Calibri" w:hAnsi="David" w:hint="cs"/>
          <w:noProof w:val="0"/>
          <w:rtl/>
        </w:rPr>
        <w:t>ת</w:t>
      </w:r>
      <w:r w:rsidR="0004126E" w:rsidRPr="00045571">
        <w:rPr>
          <w:rFonts w:ascii="David" w:eastAsia="Calibri" w:hAnsi="David" w:hint="cs"/>
          <w:noProof w:val="0"/>
          <w:rtl/>
        </w:rPr>
        <w:t>ו</w:t>
      </w:r>
      <w:r w:rsidRPr="00045571">
        <w:rPr>
          <w:rFonts w:ascii="David" w:eastAsia="Calibri" w:hAnsi="David" w:hint="cs"/>
          <w:noProof w:val="0"/>
          <w:rtl/>
        </w:rPr>
        <w:t>בע בתחום האקטואריה</w:t>
      </w:r>
      <w:r w:rsidR="005F7B56" w:rsidRPr="00045571">
        <w:rPr>
          <w:rFonts w:ascii="David" w:eastAsia="Calibri" w:hAnsi="David" w:hint="cs"/>
          <w:noProof w:val="0"/>
          <w:rtl/>
        </w:rPr>
        <w:t xml:space="preserve"> (עניין פינץ הנ"ל וכן </w:t>
      </w:r>
      <w:r w:rsidR="005F7B56" w:rsidRPr="00045571">
        <w:rPr>
          <w:rFonts w:ascii="David" w:eastAsia="Calibri" w:hAnsi="David"/>
          <w:noProof w:val="0"/>
          <w:rtl/>
        </w:rPr>
        <w:t xml:space="preserve">ת"א 45710-10-15 </w:t>
      </w:r>
      <w:r w:rsidR="005F7B56" w:rsidRPr="00045571">
        <w:rPr>
          <w:rFonts w:ascii="David" w:eastAsia="Calibri" w:hAnsi="David"/>
          <w:b/>
          <w:bCs/>
          <w:noProof w:val="0"/>
          <w:rtl/>
        </w:rPr>
        <w:t>אלוני נ' עיריית רעננה</w:t>
      </w:r>
      <w:r w:rsidR="005F7B56" w:rsidRPr="00045571">
        <w:rPr>
          <w:rFonts w:ascii="David" w:eastAsia="Calibri" w:hAnsi="David"/>
          <w:noProof w:val="0"/>
          <w:rtl/>
        </w:rPr>
        <w:t xml:space="preserve"> (30.03.2022)</w:t>
      </w:r>
      <w:r w:rsidR="005F7B56" w:rsidRPr="00045571">
        <w:rPr>
          <w:rFonts w:ascii="David" w:eastAsia="Calibri" w:hAnsi="David" w:hint="cs"/>
          <w:noProof w:val="0"/>
          <w:rtl/>
        </w:rPr>
        <w:t>)</w:t>
      </w:r>
      <w:r w:rsidRPr="00045571">
        <w:rPr>
          <w:rFonts w:ascii="David" w:eastAsia="Calibri" w:hAnsi="David" w:hint="cs"/>
          <w:noProof w:val="0"/>
          <w:rtl/>
        </w:rPr>
        <w:t xml:space="preserve">, לפיה התחשיב נערך על פי תוחלת החיים </w:t>
      </w:r>
      <w:r w:rsidR="007D5EDE" w:rsidRPr="00045571">
        <w:rPr>
          <w:rFonts w:ascii="David" w:eastAsia="Calibri" w:hAnsi="David" w:hint="cs"/>
          <w:noProof w:val="0"/>
          <w:rtl/>
        </w:rPr>
        <w:t>הצפויה</w:t>
      </w:r>
      <w:r w:rsidRPr="00045571">
        <w:rPr>
          <w:rFonts w:ascii="David" w:eastAsia="Calibri" w:hAnsi="David" w:hint="cs"/>
          <w:noProof w:val="0"/>
          <w:rtl/>
        </w:rPr>
        <w:t xml:space="preserve"> של החייב </w:t>
      </w:r>
      <w:r w:rsidR="009E5D32">
        <w:rPr>
          <w:rFonts w:ascii="David" w:eastAsia="Calibri" w:hAnsi="David" w:hint="cs"/>
          <w:noProof w:val="0"/>
          <w:rtl/>
        </w:rPr>
        <w:t xml:space="preserve">ולא </w:t>
      </w:r>
      <w:r w:rsidRPr="00045571">
        <w:rPr>
          <w:rFonts w:ascii="David" w:eastAsia="Calibri" w:hAnsi="David" w:hint="cs"/>
          <w:noProof w:val="0"/>
          <w:rtl/>
        </w:rPr>
        <w:t>של הזכאי</w:t>
      </w:r>
      <w:r w:rsidR="005F7B56" w:rsidRPr="00045571">
        <w:rPr>
          <w:rFonts w:ascii="David" w:eastAsia="Calibri" w:hAnsi="David" w:hint="cs"/>
          <w:noProof w:val="0"/>
          <w:rtl/>
        </w:rPr>
        <w:t>,</w:t>
      </w:r>
      <w:r w:rsidRPr="00045571">
        <w:rPr>
          <w:rFonts w:ascii="David" w:eastAsia="Calibri" w:hAnsi="David" w:hint="cs"/>
          <w:noProof w:val="0"/>
          <w:rtl/>
        </w:rPr>
        <w:t xml:space="preserve"> יפה גם לעניינו</w:t>
      </w:r>
      <w:r w:rsidR="001905E9" w:rsidRPr="00045571">
        <w:rPr>
          <w:rFonts w:ascii="David" w:eastAsia="Calibri" w:hAnsi="David" w:hint="cs"/>
          <w:noProof w:val="0"/>
          <w:rtl/>
        </w:rPr>
        <w:t xml:space="preserve">; </w:t>
      </w:r>
    </w:p>
    <w:p w:rsidR="00045571" w:rsidRDefault="00045571" w:rsidP="00045571">
      <w:pPr>
        <w:pStyle w:val="ad"/>
        <w:rPr>
          <w:rFonts w:ascii="David" w:eastAsia="Calibri" w:hAnsi="David"/>
          <w:noProof w:val="0"/>
          <w:highlight w:val="yellow"/>
          <w:rtl/>
        </w:rPr>
      </w:pPr>
    </w:p>
    <w:p w:rsidR="005514AF" w:rsidRPr="00BD30EC" w:rsidRDefault="00045571" w:rsidP="004F2AF5">
      <w:pPr>
        <w:numPr>
          <w:ilvl w:val="0"/>
          <w:numId w:val="1"/>
        </w:numPr>
        <w:spacing w:after="160" w:line="360" w:lineRule="auto"/>
        <w:ind w:hanging="579"/>
        <w:contextualSpacing/>
        <w:jc w:val="both"/>
        <w:rPr>
          <w:rFonts w:ascii="David" w:eastAsia="Calibri" w:hAnsi="David"/>
          <w:noProof w:val="0"/>
        </w:rPr>
      </w:pPr>
      <w:r w:rsidRPr="00BD30EC">
        <w:rPr>
          <w:rFonts w:ascii="David" w:eastAsia="Calibri" w:hAnsi="David" w:hint="cs"/>
          <w:noProof w:val="0"/>
          <w:rtl/>
        </w:rPr>
        <w:t xml:space="preserve">הנתבעת הפנתה </w:t>
      </w:r>
      <w:r w:rsidR="00DA4F42" w:rsidRPr="00BD30EC">
        <w:rPr>
          <w:rFonts w:ascii="David" w:eastAsia="Calibri" w:hAnsi="David" w:hint="cs"/>
          <w:noProof w:val="0"/>
          <w:rtl/>
        </w:rPr>
        <w:t>בסיכומי התשובה מטעמה לעמדתו של כב' השופט רובינשטיין ב</w:t>
      </w:r>
      <w:hyperlink r:id="rId11" w:history="1">
        <w:r w:rsidR="00DA4F42" w:rsidRPr="00BD30EC">
          <w:rPr>
            <w:rFonts w:eastAsia="Calibri"/>
            <w:rtl/>
          </w:rPr>
          <w:t>בע"מ 4870/06 </w:t>
        </w:r>
        <w:r w:rsidR="00DA4F42" w:rsidRPr="00BD30EC">
          <w:rPr>
            <w:rFonts w:eastAsia="Calibri"/>
            <w:b/>
            <w:bCs/>
            <w:rtl/>
          </w:rPr>
          <w:t>פלונית נ' עזבון המנוח פלוני </w:t>
        </w:r>
        <w:r w:rsidR="00DA4F42" w:rsidRPr="00BD30EC">
          <w:rPr>
            <w:rFonts w:eastAsia="Calibri"/>
            <w:rtl/>
          </w:rPr>
          <w:t>(24.03.2008)‏</w:t>
        </w:r>
      </w:hyperlink>
      <w:r w:rsidR="00DA4F42" w:rsidRPr="00BD30EC">
        <w:rPr>
          <w:rFonts w:ascii="David" w:eastAsia="Calibri" w:hAnsi="David"/>
          <w:noProof w:val="0"/>
          <w:rtl/>
        </w:rPr>
        <w:t>‏</w:t>
      </w:r>
      <w:r w:rsidRPr="00BD30EC">
        <w:rPr>
          <w:rFonts w:ascii="David" w:eastAsia="Calibri" w:hAnsi="David" w:hint="cs"/>
          <w:noProof w:val="0"/>
          <w:rtl/>
        </w:rPr>
        <w:t xml:space="preserve">, אולם </w:t>
      </w:r>
      <w:r w:rsidR="007F77D6">
        <w:rPr>
          <w:rFonts w:ascii="David" w:eastAsia="Calibri" w:hAnsi="David" w:hint="cs"/>
          <w:noProof w:val="0"/>
          <w:rtl/>
        </w:rPr>
        <w:t xml:space="preserve">לא ניתן ללמוד ממנה לעניינו שכן </w:t>
      </w:r>
      <w:r w:rsidR="003C3948">
        <w:rPr>
          <w:rFonts w:ascii="David" w:eastAsia="Calibri" w:hAnsi="David" w:hint="cs"/>
          <w:noProof w:val="0"/>
          <w:rtl/>
        </w:rPr>
        <w:t>במקרה האמור בן הזוג הלך לעולמו</w:t>
      </w:r>
      <w:r w:rsidR="006C3318">
        <w:rPr>
          <w:rFonts w:ascii="David" w:eastAsia="Calibri" w:hAnsi="David" w:hint="cs"/>
          <w:noProof w:val="0"/>
          <w:rtl/>
        </w:rPr>
        <w:t xml:space="preserve"> בטרם עת בטרם ה</w:t>
      </w:r>
      <w:r w:rsidR="007F77D6">
        <w:rPr>
          <w:rFonts w:ascii="David" w:eastAsia="Calibri" w:hAnsi="David" w:hint="cs"/>
          <w:noProof w:val="0"/>
          <w:rtl/>
        </w:rPr>
        <w:t>גיע לגיל הפנסיה</w:t>
      </w:r>
      <w:r w:rsidR="003C3948">
        <w:rPr>
          <w:rFonts w:ascii="David" w:eastAsia="Calibri" w:hAnsi="David" w:hint="cs"/>
          <w:noProof w:val="0"/>
          <w:rtl/>
        </w:rPr>
        <w:t xml:space="preserve">, ומכל מקום </w:t>
      </w:r>
      <w:r w:rsidRPr="00BD30EC">
        <w:rPr>
          <w:rFonts w:ascii="David" w:eastAsia="Calibri" w:hAnsi="David" w:hint="cs"/>
          <w:noProof w:val="0"/>
          <w:rtl/>
        </w:rPr>
        <w:t>עמד</w:t>
      </w:r>
      <w:r w:rsidR="003C3948">
        <w:rPr>
          <w:rFonts w:ascii="David" w:eastAsia="Calibri" w:hAnsi="David" w:hint="cs"/>
          <w:noProof w:val="0"/>
          <w:rtl/>
        </w:rPr>
        <w:t xml:space="preserve">ת כבוד השופט רובנשטיין </w:t>
      </w:r>
      <w:r w:rsidRPr="00BD30EC">
        <w:rPr>
          <w:rFonts w:ascii="David" w:eastAsia="Calibri" w:hAnsi="David" w:hint="cs"/>
          <w:noProof w:val="0"/>
          <w:rtl/>
        </w:rPr>
        <w:t xml:space="preserve">הינה </w:t>
      </w:r>
      <w:r w:rsidR="00DA4F42" w:rsidRPr="009E5D32">
        <w:rPr>
          <w:rFonts w:ascii="David" w:eastAsia="Calibri" w:hAnsi="David" w:hint="cs"/>
          <w:b/>
          <w:bCs/>
          <w:noProof w:val="0"/>
          <w:rtl/>
        </w:rPr>
        <w:t>דעת מיעוט</w:t>
      </w:r>
      <w:r w:rsidR="00DA4F42" w:rsidRPr="00BD30EC">
        <w:rPr>
          <w:rFonts w:ascii="David" w:eastAsia="Calibri" w:hAnsi="David" w:hint="cs"/>
          <w:noProof w:val="0"/>
          <w:rtl/>
        </w:rPr>
        <w:t xml:space="preserve">, </w:t>
      </w:r>
      <w:r w:rsidRPr="00BD30EC">
        <w:rPr>
          <w:rFonts w:ascii="David" w:eastAsia="Calibri" w:hAnsi="David" w:hint="cs"/>
          <w:noProof w:val="0"/>
          <w:rtl/>
        </w:rPr>
        <w:t xml:space="preserve">אשר בסופו של יום </w:t>
      </w:r>
      <w:r w:rsidR="00DA4F42" w:rsidRPr="00BD30EC">
        <w:rPr>
          <w:rFonts w:ascii="David" w:eastAsia="Calibri" w:hAnsi="David" w:hint="cs"/>
          <w:noProof w:val="0"/>
          <w:rtl/>
        </w:rPr>
        <w:t>לא התקבלה הלכה למעשה על ידי שופטי הרוב (</w:t>
      </w:r>
      <w:r w:rsidRPr="00BD30EC">
        <w:rPr>
          <w:rFonts w:ascii="David" w:eastAsia="Calibri" w:hAnsi="David" w:hint="cs"/>
          <w:noProof w:val="0"/>
          <w:rtl/>
        </w:rPr>
        <w:t xml:space="preserve">כבוד השופטים </w:t>
      </w:r>
      <w:r w:rsidR="00DA4F42" w:rsidRPr="00BD30EC">
        <w:rPr>
          <w:rFonts w:ascii="David" w:eastAsia="Calibri" w:hAnsi="David" w:hint="cs"/>
          <w:noProof w:val="0"/>
          <w:rtl/>
        </w:rPr>
        <w:t>ריבלין ודנציגר</w:t>
      </w:r>
      <w:r w:rsidRPr="00BD30EC">
        <w:rPr>
          <w:rFonts w:ascii="David" w:eastAsia="Calibri" w:hAnsi="David" w:hint="cs"/>
          <w:noProof w:val="0"/>
          <w:rtl/>
        </w:rPr>
        <w:t>)</w:t>
      </w:r>
      <w:r w:rsidR="00DA4F42" w:rsidRPr="00BD30EC">
        <w:rPr>
          <w:rFonts w:ascii="David" w:eastAsia="Calibri" w:hAnsi="David" w:hint="cs"/>
          <w:noProof w:val="0"/>
          <w:rtl/>
        </w:rPr>
        <w:t xml:space="preserve"> שמצאו לחשב את חלקה של האישה באופן שונה</w:t>
      </w:r>
      <w:r w:rsidR="001905E9" w:rsidRPr="00BD30EC">
        <w:rPr>
          <w:rFonts w:ascii="David" w:eastAsia="Calibri" w:hAnsi="David" w:hint="cs"/>
          <w:noProof w:val="0"/>
          <w:rtl/>
        </w:rPr>
        <w:t xml:space="preserve"> </w:t>
      </w:r>
      <w:r w:rsidR="003C3948">
        <w:rPr>
          <w:rFonts w:ascii="David" w:eastAsia="Calibri" w:hAnsi="David" w:hint="cs"/>
          <w:noProof w:val="0"/>
          <w:rtl/>
        </w:rPr>
        <w:t xml:space="preserve">על פי היוון המזונות מן העיזבון ללא קשר לפנסיה, ולא </w:t>
      </w:r>
      <w:r w:rsidR="001905E9" w:rsidRPr="00BD30EC">
        <w:rPr>
          <w:rFonts w:ascii="David" w:eastAsia="Calibri" w:hAnsi="David" w:hint="cs"/>
          <w:noProof w:val="0"/>
          <w:rtl/>
        </w:rPr>
        <w:t>התייחסו לאופן חישוב ההיוון על פי תוחלת החיים של נשים</w:t>
      </w:r>
      <w:r w:rsidR="00BD30EC" w:rsidRPr="00BD30EC">
        <w:rPr>
          <w:rFonts w:ascii="David" w:eastAsia="Calibri" w:hAnsi="David" w:hint="cs"/>
          <w:noProof w:val="0"/>
          <w:rtl/>
        </w:rPr>
        <w:t>.</w:t>
      </w:r>
      <w:r w:rsidR="00DA4F42" w:rsidRPr="00BD30EC">
        <w:rPr>
          <w:rFonts w:ascii="David" w:eastAsia="Calibri" w:hAnsi="David" w:hint="cs"/>
          <w:noProof w:val="0"/>
          <w:rtl/>
        </w:rPr>
        <w:t xml:space="preserve"> </w:t>
      </w:r>
    </w:p>
    <w:p w:rsidR="00BD30EC" w:rsidRDefault="00BD30EC" w:rsidP="00BD30EC">
      <w:pPr>
        <w:spacing w:after="160" w:line="360" w:lineRule="auto"/>
        <w:ind w:left="720"/>
        <w:contextualSpacing/>
        <w:jc w:val="both"/>
        <w:rPr>
          <w:rFonts w:ascii="David" w:eastAsia="Calibri" w:hAnsi="David"/>
          <w:noProof w:val="0"/>
        </w:rPr>
      </w:pPr>
    </w:p>
    <w:p w:rsidR="00C62DF7" w:rsidRDefault="00C62DF7" w:rsidP="004F2AF5">
      <w:pPr>
        <w:numPr>
          <w:ilvl w:val="0"/>
          <w:numId w:val="1"/>
        </w:numPr>
        <w:spacing w:after="160" w:line="360" w:lineRule="auto"/>
        <w:ind w:hanging="579"/>
        <w:contextualSpacing/>
        <w:jc w:val="both"/>
        <w:rPr>
          <w:rFonts w:ascii="David" w:eastAsia="Calibri" w:hAnsi="David"/>
          <w:b/>
          <w:bCs/>
          <w:noProof w:val="0"/>
        </w:rPr>
      </w:pPr>
      <w:r w:rsidRPr="00C62DF7">
        <w:rPr>
          <w:rFonts w:ascii="David" w:eastAsia="Calibri" w:hAnsi="David"/>
          <w:noProof w:val="0"/>
          <w:rtl/>
        </w:rPr>
        <w:t>מש</w:t>
      </w:r>
      <w:r w:rsidR="005514AF">
        <w:rPr>
          <w:rFonts w:ascii="David" w:eastAsia="Calibri" w:hAnsi="David" w:hint="cs"/>
          <w:noProof w:val="0"/>
          <w:rtl/>
        </w:rPr>
        <w:t>עה ש</w:t>
      </w:r>
      <w:r w:rsidRPr="00C62DF7">
        <w:rPr>
          <w:rFonts w:ascii="David" w:eastAsia="Calibri" w:hAnsi="David"/>
          <w:noProof w:val="0"/>
          <w:rtl/>
        </w:rPr>
        <w:t>חוות דעת המומחה ניתנה על פי שיקול דעתו</w:t>
      </w:r>
      <w:r w:rsidR="004D66C0">
        <w:rPr>
          <w:rFonts w:ascii="David" w:eastAsia="Calibri" w:hAnsi="David" w:hint="cs"/>
          <w:noProof w:val="0"/>
          <w:rtl/>
        </w:rPr>
        <w:t xml:space="preserve"> המקצועי</w:t>
      </w:r>
      <w:r w:rsidRPr="00C62DF7">
        <w:rPr>
          <w:rFonts w:ascii="David" w:eastAsia="Calibri" w:hAnsi="David"/>
          <w:noProof w:val="0"/>
          <w:rtl/>
        </w:rPr>
        <w:t xml:space="preserve">, בהתבסס על שיקולים והנחות מקובלים לעניין ביצוע ההיוון, לא מצאתי </w:t>
      </w:r>
      <w:r w:rsidR="00E468E3">
        <w:rPr>
          <w:rFonts w:ascii="David" w:eastAsia="Calibri" w:hAnsi="David" w:hint="cs"/>
          <w:noProof w:val="0"/>
          <w:rtl/>
        </w:rPr>
        <w:t xml:space="preserve">עילה </w:t>
      </w:r>
      <w:r w:rsidRPr="00C62DF7">
        <w:rPr>
          <w:rFonts w:ascii="David" w:eastAsia="Calibri" w:hAnsi="David"/>
          <w:noProof w:val="0"/>
          <w:rtl/>
        </w:rPr>
        <w:t xml:space="preserve">להתערבות באופן חישוביו לעניין זה. </w:t>
      </w:r>
      <w:r w:rsidRPr="00C55821">
        <w:rPr>
          <w:rFonts w:ascii="David" w:eastAsia="Calibri" w:hAnsi="David"/>
          <w:b/>
          <w:bCs/>
          <w:noProof w:val="0"/>
          <w:rtl/>
        </w:rPr>
        <w:t xml:space="preserve">לפיכך טענות הנתבעת </w:t>
      </w:r>
      <w:r w:rsidR="00C55821">
        <w:rPr>
          <w:rFonts w:ascii="David" w:eastAsia="Calibri" w:hAnsi="David" w:hint="cs"/>
          <w:b/>
          <w:bCs/>
          <w:noProof w:val="0"/>
          <w:rtl/>
        </w:rPr>
        <w:t>לעניין אופן חישוב תוחלת החיים נ</w:t>
      </w:r>
      <w:r w:rsidR="00E468E3" w:rsidRPr="00C55821">
        <w:rPr>
          <w:rFonts w:ascii="David" w:eastAsia="Calibri" w:hAnsi="David" w:hint="cs"/>
          <w:b/>
          <w:bCs/>
          <w:noProof w:val="0"/>
          <w:rtl/>
        </w:rPr>
        <w:t>דחות</w:t>
      </w:r>
      <w:r w:rsidRPr="00C55821">
        <w:rPr>
          <w:rFonts w:ascii="David" w:eastAsia="Calibri" w:hAnsi="David"/>
          <w:b/>
          <w:bCs/>
          <w:noProof w:val="0"/>
          <w:rtl/>
        </w:rPr>
        <w:t>.</w:t>
      </w:r>
    </w:p>
    <w:p w:rsidR="006C3318" w:rsidRDefault="006C3318" w:rsidP="006C3318">
      <w:pPr>
        <w:pStyle w:val="ad"/>
        <w:rPr>
          <w:rFonts w:ascii="David" w:eastAsia="Calibri" w:hAnsi="David"/>
          <w:b/>
          <w:bCs/>
          <w:noProof w:val="0"/>
          <w:rtl/>
        </w:rPr>
      </w:pPr>
    </w:p>
    <w:p w:rsidR="00C62DF7" w:rsidRPr="00BD30EC" w:rsidRDefault="0097678B" w:rsidP="004F2AF5">
      <w:pPr>
        <w:numPr>
          <w:ilvl w:val="0"/>
          <w:numId w:val="1"/>
        </w:numPr>
        <w:spacing w:after="160" w:line="360" w:lineRule="auto"/>
        <w:ind w:hanging="579"/>
        <w:contextualSpacing/>
        <w:jc w:val="both"/>
        <w:rPr>
          <w:rFonts w:ascii="David" w:eastAsia="Calibri" w:hAnsi="David"/>
          <w:noProof w:val="0"/>
        </w:rPr>
      </w:pPr>
      <w:r w:rsidRPr="00BD30EC">
        <w:rPr>
          <w:rFonts w:ascii="David" w:eastAsia="Calibri" w:hAnsi="David" w:hint="cs"/>
          <w:noProof w:val="0"/>
          <w:rtl/>
        </w:rPr>
        <w:lastRenderedPageBreak/>
        <w:t>ממילא אין מקום לקשור בין חישוב לפי תוחלת חיים לבין טענת ה</w:t>
      </w:r>
      <w:r w:rsidR="00C62DF7" w:rsidRPr="00BD30EC">
        <w:rPr>
          <w:rFonts w:ascii="David" w:eastAsia="Calibri" w:hAnsi="David" w:hint="cs"/>
          <w:noProof w:val="0"/>
          <w:rtl/>
        </w:rPr>
        <w:t xml:space="preserve">נתבעת ביחס לזכאותה לקצבת שארים, </w:t>
      </w:r>
      <w:r w:rsidR="002B762F" w:rsidRPr="00BD30EC">
        <w:rPr>
          <w:rFonts w:ascii="David" w:eastAsia="Calibri" w:hAnsi="David"/>
          <w:noProof w:val="0"/>
          <w:rtl/>
        </w:rPr>
        <w:t xml:space="preserve">לאחר שבמקרה דנן אין מדובר בפסק דין שיירשם על פי החוק לחלוקת חיסכון פנסיוני, לנוכח הסכמת הצדדים לאזן זכויותיהם על דרך של </w:t>
      </w:r>
      <w:r w:rsidR="002B762F" w:rsidRPr="00BD30EC">
        <w:rPr>
          <w:rFonts w:ascii="David" w:eastAsia="Calibri" w:hAnsi="David"/>
          <w:b/>
          <w:bCs/>
          <w:noProof w:val="0"/>
          <w:rtl/>
        </w:rPr>
        <w:t>היוון</w:t>
      </w:r>
      <w:r w:rsidR="002B762F" w:rsidRPr="00BD30EC">
        <w:rPr>
          <w:rFonts w:ascii="David" w:eastAsia="Calibri" w:hAnsi="David"/>
          <w:noProof w:val="0"/>
          <w:rtl/>
        </w:rPr>
        <w:t>, הרי שאין רלוונטיות ל</w:t>
      </w:r>
      <w:r w:rsidR="00C320E8" w:rsidRPr="00BD30EC">
        <w:rPr>
          <w:rFonts w:ascii="David" w:eastAsia="Calibri" w:hAnsi="David" w:hint="cs"/>
          <w:noProof w:val="0"/>
          <w:rtl/>
        </w:rPr>
        <w:t>זכאות ל</w:t>
      </w:r>
      <w:r w:rsidR="002B762F" w:rsidRPr="00BD30EC">
        <w:rPr>
          <w:rFonts w:ascii="David" w:eastAsia="Calibri" w:hAnsi="David"/>
          <w:noProof w:val="0"/>
          <w:rtl/>
        </w:rPr>
        <w:t>קצבת שארים</w:t>
      </w:r>
      <w:r w:rsidR="00C320E8" w:rsidRPr="00BD30EC">
        <w:rPr>
          <w:rFonts w:ascii="David" w:eastAsia="Calibri" w:hAnsi="David" w:hint="cs"/>
          <w:noProof w:val="0"/>
          <w:rtl/>
        </w:rPr>
        <w:t xml:space="preserve"> מכ</w:t>
      </w:r>
      <w:r w:rsidR="00EB406E" w:rsidRPr="00BD30EC">
        <w:rPr>
          <w:rFonts w:ascii="David" w:eastAsia="Calibri" w:hAnsi="David" w:hint="cs"/>
          <w:noProof w:val="0"/>
          <w:rtl/>
        </w:rPr>
        <w:t>ו</w:t>
      </w:r>
      <w:r w:rsidR="00C320E8" w:rsidRPr="00BD30EC">
        <w:rPr>
          <w:rFonts w:ascii="David" w:eastAsia="Calibri" w:hAnsi="David" w:hint="cs"/>
          <w:noProof w:val="0"/>
          <w:rtl/>
        </w:rPr>
        <w:t>ח החוק האמור</w:t>
      </w:r>
      <w:r w:rsidR="002B762F" w:rsidRPr="00BD30EC">
        <w:rPr>
          <w:rFonts w:ascii="David" w:eastAsia="Calibri" w:hAnsi="David"/>
          <w:noProof w:val="0"/>
          <w:rtl/>
        </w:rPr>
        <w:t xml:space="preserve">. </w:t>
      </w:r>
    </w:p>
    <w:p w:rsidR="00C320E8" w:rsidRPr="00EB406E" w:rsidRDefault="00C320E8" w:rsidP="00C320E8">
      <w:pPr>
        <w:pStyle w:val="ad"/>
        <w:rPr>
          <w:rFonts w:ascii="David" w:eastAsia="Calibri" w:hAnsi="David"/>
          <w:noProof w:val="0"/>
          <w:rtl/>
        </w:rPr>
      </w:pPr>
    </w:p>
    <w:p w:rsidR="00AA5D84" w:rsidRPr="001956B0" w:rsidRDefault="00AA5D84" w:rsidP="004F2AF5">
      <w:pPr>
        <w:numPr>
          <w:ilvl w:val="0"/>
          <w:numId w:val="1"/>
        </w:numPr>
        <w:spacing w:after="160" w:line="360" w:lineRule="auto"/>
        <w:ind w:hanging="579"/>
        <w:contextualSpacing/>
        <w:jc w:val="both"/>
        <w:rPr>
          <w:rFonts w:ascii="David" w:eastAsia="Calibri" w:hAnsi="David"/>
          <w:noProof w:val="0"/>
        </w:rPr>
      </w:pPr>
      <w:r w:rsidRPr="00043C4F">
        <w:rPr>
          <w:rFonts w:ascii="David" w:eastAsia="Calibri" w:hAnsi="David" w:hint="cs"/>
          <w:b/>
          <w:bCs/>
          <w:noProof w:val="0"/>
          <w:rtl/>
        </w:rPr>
        <w:t>עמדת המומחה</w:t>
      </w:r>
      <w:r>
        <w:rPr>
          <w:rFonts w:ascii="David" w:eastAsia="Calibri" w:hAnsi="David" w:hint="cs"/>
          <w:noProof w:val="0"/>
          <w:rtl/>
        </w:rPr>
        <w:t xml:space="preserve"> בסוגיה זו כפי שמובאת </w:t>
      </w:r>
      <w:r w:rsidRPr="001956B0">
        <w:rPr>
          <w:rFonts w:ascii="David" w:eastAsia="Calibri" w:hAnsi="David"/>
          <w:noProof w:val="0"/>
          <w:rtl/>
        </w:rPr>
        <w:t xml:space="preserve">בחוות הדעת </w:t>
      </w:r>
      <w:r>
        <w:rPr>
          <w:rFonts w:ascii="David" w:eastAsia="Calibri" w:hAnsi="David" w:hint="cs"/>
          <w:noProof w:val="0"/>
          <w:rtl/>
        </w:rPr>
        <w:t xml:space="preserve">היא </w:t>
      </w:r>
      <w:r w:rsidRPr="001956B0">
        <w:rPr>
          <w:rFonts w:ascii="David" w:eastAsia="Calibri" w:hAnsi="David"/>
          <w:noProof w:val="0"/>
          <w:rtl/>
        </w:rPr>
        <w:t>כי "</w:t>
      </w:r>
      <w:r w:rsidRPr="001956B0">
        <w:rPr>
          <w:rFonts w:ascii="David" w:eastAsia="Calibri" w:hAnsi="David"/>
          <w:b/>
          <w:bCs/>
          <w:noProof w:val="0"/>
          <w:rtl/>
        </w:rPr>
        <w:t xml:space="preserve">אין מקום לטענה כי יש לחשב סכומים ע"פ לוחות תמותה ובין השאר </w:t>
      </w:r>
      <w:r w:rsidRPr="001956B0">
        <w:rPr>
          <w:rFonts w:ascii="David" w:eastAsia="Calibri" w:hAnsi="David" w:hint="cs"/>
          <w:b/>
          <w:bCs/>
          <w:noProof w:val="0"/>
          <w:rtl/>
        </w:rPr>
        <w:t>פנסיי</w:t>
      </w:r>
      <w:r w:rsidRPr="001956B0">
        <w:rPr>
          <w:rFonts w:ascii="David" w:eastAsia="Calibri" w:hAnsi="David" w:hint="eastAsia"/>
          <w:b/>
          <w:bCs/>
          <w:noProof w:val="0"/>
          <w:rtl/>
        </w:rPr>
        <w:t>ת</w:t>
      </w:r>
      <w:r w:rsidRPr="001956B0">
        <w:rPr>
          <w:rFonts w:ascii="David" w:eastAsia="Calibri" w:hAnsi="David"/>
          <w:b/>
          <w:bCs/>
          <w:noProof w:val="0"/>
          <w:rtl/>
        </w:rPr>
        <w:t xml:space="preserve"> שארים שכן אין האחרון נכס בידי צד כלשהוא</w:t>
      </w:r>
      <w:r w:rsidRPr="001956B0">
        <w:rPr>
          <w:rFonts w:ascii="David" w:eastAsia="Calibri" w:hAnsi="David"/>
          <w:noProof w:val="0"/>
          <w:rtl/>
        </w:rPr>
        <w:t>" (סיכום המומחה בסיפא לעמ' 5 לחווה"ד).</w:t>
      </w:r>
    </w:p>
    <w:p w:rsidR="00AA5D84" w:rsidRPr="00CD5423" w:rsidRDefault="00AA5D84" w:rsidP="00AA5D84">
      <w:pPr>
        <w:spacing w:after="160" w:line="256" w:lineRule="auto"/>
        <w:ind w:left="720" w:hanging="579"/>
        <w:contextualSpacing/>
        <w:rPr>
          <w:rFonts w:ascii="David" w:eastAsia="Calibri" w:hAnsi="David"/>
          <w:noProof w:val="0"/>
        </w:rPr>
      </w:pPr>
    </w:p>
    <w:p w:rsidR="00AA5D84" w:rsidRPr="002B762F" w:rsidRDefault="00AA5D84" w:rsidP="004F2AF5">
      <w:pPr>
        <w:numPr>
          <w:ilvl w:val="0"/>
          <w:numId w:val="1"/>
        </w:numPr>
        <w:spacing w:after="160" w:line="360" w:lineRule="auto"/>
        <w:ind w:hanging="579"/>
        <w:contextualSpacing/>
        <w:jc w:val="both"/>
        <w:rPr>
          <w:rFonts w:ascii="David" w:eastAsia="Calibri" w:hAnsi="David"/>
          <w:noProof w:val="0"/>
          <w:rtl/>
        </w:rPr>
      </w:pPr>
      <w:r w:rsidRPr="001956B0">
        <w:rPr>
          <w:rFonts w:ascii="David" w:eastAsia="Calibri" w:hAnsi="David"/>
          <w:noProof w:val="0"/>
          <w:rtl/>
        </w:rPr>
        <w:t>בתשובת המומחה לשאלת הבהרה מס' 5 הבהיר המומחה כי "</w:t>
      </w:r>
      <w:r w:rsidRPr="001956B0">
        <w:rPr>
          <w:rFonts w:ascii="David" w:eastAsia="Calibri" w:hAnsi="David"/>
          <w:b/>
          <w:bCs/>
          <w:noProof w:val="0"/>
          <w:rtl/>
        </w:rPr>
        <w:t xml:space="preserve">האיזון הכולל ליום הקרע מניח הנחות יסוד (אחוז ריבית, תוחלת חיים) ומחשב את תזרים המזומנים מהגמלה על פני השנים. הפרקטיקה המקובלת לחישוב נכס בדרך זו אינה כוללת כנכס את גמלת השארים של בן הזוג וזאת היות וע"פ תקנוני הגופים הפנסיונים השונים זכאי לגמלת שארים רק בן </w:t>
      </w:r>
      <w:r w:rsidRPr="002B762F">
        <w:rPr>
          <w:rFonts w:ascii="David" w:eastAsia="Calibri" w:hAnsi="David"/>
          <w:b/>
          <w:bCs/>
          <w:noProof w:val="0"/>
          <w:rtl/>
        </w:rPr>
        <w:t>זוג ולא גרוש. חוק חלוקת חיסכון פנסיוני הסדיר נושא זה ול</w:t>
      </w:r>
      <w:r w:rsidRPr="002B762F">
        <w:rPr>
          <w:rFonts w:ascii="David" w:eastAsia="Calibri" w:hAnsi="David" w:hint="cs"/>
          <w:b/>
          <w:bCs/>
          <w:noProof w:val="0"/>
          <w:rtl/>
        </w:rPr>
        <w:t>כ</w:t>
      </w:r>
      <w:r w:rsidRPr="002B762F">
        <w:rPr>
          <w:rFonts w:ascii="David" w:eastAsia="Calibri" w:hAnsi="David"/>
          <w:b/>
          <w:bCs/>
          <w:noProof w:val="0"/>
          <w:rtl/>
        </w:rPr>
        <w:t>ן בחלופה זו החלק היחסי בגמלת שארים מועברת לבן הזוג</w:t>
      </w:r>
      <w:r w:rsidRPr="002B762F">
        <w:rPr>
          <w:rFonts w:ascii="David" w:eastAsia="Calibri" w:hAnsi="David"/>
          <w:noProof w:val="0"/>
          <w:rtl/>
        </w:rPr>
        <w:t>".</w:t>
      </w:r>
    </w:p>
    <w:p w:rsidR="00AA5D84" w:rsidRPr="001956B0" w:rsidRDefault="00AA5D84" w:rsidP="00AA5D84">
      <w:pPr>
        <w:spacing w:after="160" w:line="256" w:lineRule="auto"/>
        <w:ind w:left="720" w:hanging="579"/>
        <w:contextualSpacing/>
        <w:rPr>
          <w:rFonts w:ascii="David" w:eastAsia="Calibri" w:hAnsi="David"/>
          <w:noProof w:val="0"/>
        </w:rPr>
      </w:pPr>
    </w:p>
    <w:p w:rsidR="00AA5D84" w:rsidRPr="001956B0" w:rsidRDefault="00AA5D84" w:rsidP="004F2AF5">
      <w:pPr>
        <w:numPr>
          <w:ilvl w:val="0"/>
          <w:numId w:val="1"/>
        </w:numPr>
        <w:spacing w:after="160" w:line="360" w:lineRule="auto"/>
        <w:ind w:hanging="579"/>
        <w:contextualSpacing/>
        <w:jc w:val="both"/>
        <w:rPr>
          <w:rFonts w:ascii="David" w:eastAsia="Calibri" w:hAnsi="David"/>
          <w:noProof w:val="0"/>
          <w:rtl/>
        </w:rPr>
      </w:pPr>
      <w:r w:rsidRPr="001956B0">
        <w:rPr>
          <w:rFonts w:ascii="David" w:eastAsia="Calibri" w:hAnsi="David"/>
          <w:noProof w:val="0"/>
          <w:rtl/>
        </w:rPr>
        <w:t>בחקירתו העיד המומחה לעניין זה כי "</w:t>
      </w:r>
      <w:r w:rsidRPr="001956B0">
        <w:rPr>
          <w:rFonts w:ascii="David" w:eastAsia="Calibri" w:hAnsi="David"/>
          <w:b/>
          <w:bCs/>
          <w:noProof w:val="0"/>
          <w:rtl/>
        </w:rPr>
        <w:t>בני זוג גרושים לבן הזוג לא מגיע קצבת שארים מבן הזוג השני</w:t>
      </w:r>
      <w:r w:rsidRPr="001956B0">
        <w:rPr>
          <w:rFonts w:ascii="David" w:eastAsia="Calibri" w:hAnsi="David"/>
          <w:noProof w:val="0"/>
          <w:rtl/>
        </w:rPr>
        <w:t>" (שורה 11 עמ' 24 לפרוט'); "</w:t>
      </w:r>
      <w:r w:rsidRPr="001956B0">
        <w:rPr>
          <w:rFonts w:ascii="David" w:eastAsia="Calibri" w:hAnsi="David"/>
          <w:b/>
          <w:bCs/>
          <w:noProof w:val="0"/>
          <w:rtl/>
        </w:rPr>
        <w:t xml:space="preserve">אני מציין כי </w:t>
      </w:r>
      <w:r w:rsidRPr="00C55821">
        <w:rPr>
          <w:rFonts w:ascii="David" w:eastAsia="Calibri" w:hAnsi="David"/>
          <w:b/>
          <w:bCs/>
          <w:noProof w:val="0"/>
          <w:u w:val="single"/>
          <w:rtl/>
        </w:rPr>
        <w:t>ככל שאחשב את קצבת השארים זה לרעת האישה</w:t>
      </w:r>
      <w:r w:rsidRPr="001956B0">
        <w:rPr>
          <w:rFonts w:ascii="David" w:eastAsia="Calibri" w:hAnsi="David"/>
          <w:b/>
          <w:bCs/>
          <w:noProof w:val="0"/>
          <w:rtl/>
        </w:rPr>
        <w:t xml:space="preserve"> שכן אם אוסיף לה מהנכס של הבעל יהיה במצבת הנכסים שלה סכום יותר גדול ובאיזון זה פוגע בה. בפועל בני זוג שמתגרשים לא מקבלים קצבת שארים של בן הזוג השני </w:t>
      </w:r>
      <w:r w:rsidRPr="00AA5D84">
        <w:rPr>
          <w:rFonts w:ascii="David" w:eastAsia="Calibri" w:hAnsi="David"/>
          <w:b/>
          <w:bCs/>
          <w:noProof w:val="0"/>
          <w:u w:val="single"/>
          <w:rtl/>
        </w:rPr>
        <w:t>אלא אם כן בחרו במסלול של חוק לחלוקת חיסכון פנסיוני</w:t>
      </w:r>
      <w:r w:rsidRPr="001956B0">
        <w:rPr>
          <w:rFonts w:ascii="David" w:eastAsia="Calibri" w:hAnsi="David"/>
          <w:b/>
          <w:bCs/>
          <w:noProof w:val="0"/>
          <w:rtl/>
        </w:rPr>
        <w:t xml:space="preserve">. אז היא יכולה לבחור אם לקבל קצבת שארים אם לא וככל שרוצה משלמת על זה פער. אם נוסיף סכום </w:t>
      </w:r>
      <w:r w:rsidRPr="001956B0">
        <w:rPr>
          <w:rFonts w:ascii="David" w:eastAsia="Calibri" w:hAnsi="David"/>
          <w:b/>
          <w:bCs/>
          <w:noProof w:val="0"/>
          <w:rtl/>
        </w:rPr>
        <w:lastRenderedPageBreak/>
        <w:t>קצבת שארים של הבעל יהיו מצבת הנכסים שלה יותר גדולים ובחישוב האיזון כי זה לא נכס אמיתי שיש לה, היא לא תקבל בסופו של דבר פחות באיזון, ולכן בסופו של דבר זה לרעת האישה..."</w:t>
      </w:r>
      <w:r w:rsidRPr="001956B0">
        <w:rPr>
          <w:rFonts w:ascii="David" w:eastAsia="Calibri" w:hAnsi="David"/>
          <w:noProof w:val="0"/>
          <w:rtl/>
        </w:rPr>
        <w:t xml:space="preserve"> </w:t>
      </w:r>
      <w:r w:rsidR="00C55821">
        <w:rPr>
          <w:rFonts w:ascii="David" w:eastAsia="Calibri" w:hAnsi="David" w:hint="cs"/>
          <w:noProof w:val="0"/>
          <w:rtl/>
        </w:rPr>
        <w:t>(</w:t>
      </w:r>
      <w:r w:rsidRPr="001956B0">
        <w:rPr>
          <w:rFonts w:ascii="David" w:eastAsia="Calibri" w:hAnsi="David"/>
          <w:noProof w:val="0"/>
          <w:rtl/>
        </w:rPr>
        <w:t>שורות 1</w:t>
      </w:r>
      <w:r w:rsidR="00C55821">
        <w:rPr>
          <w:rFonts w:ascii="David" w:eastAsia="Calibri" w:hAnsi="David"/>
          <w:noProof w:val="0"/>
          <w:rtl/>
        </w:rPr>
        <w:t>8-24 עמ' 24 לפרוט'</w:t>
      </w:r>
      <w:r w:rsidR="00C55821">
        <w:rPr>
          <w:rFonts w:ascii="David" w:eastAsia="Calibri" w:hAnsi="David" w:hint="cs"/>
          <w:noProof w:val="0"/>
          <w:rtl/>
        </w:rPr>
        <w:t>; ההדגשות אינן במקור).</w:t>
      </w:r>
    </w:p>
    <w:p w:rsidR="00C62DF7" w:rsidRDefault="00C62DF7" w:rsidP="00C62DF7">
      <w:pPr>
        <w:pStyle w:val="ad"/>
        <w:rPr>
          <w:rFonts w:ascii="David" w:eastAsia="Calibri" w:hAnsi="David"/>
          <w:noProof w:val="0"/>
          <w:rtl/>
        </w:rPr>
      </w:pPr>
    </w:p>
    <w:p w:rsidR="00BB471E" w:rsidRDefault="00BB471E" w:rsidP="004F2AF5">
      <w:pPr>
        <w:numPr>
          <w:ilvl w:val="0"/>
          <w:numId w:val="1"/>
        </w:numPr>
        <w:spacing w:after="160" w:line="360" w:lineRule="auto"/>
        <w:ind w:hanging="579"/>
        <w:contextualSpacing/>
        <w:jc w:val="both"/>
        <w:rPr>
          <w:rFonts w:ascii="David" w:eastAsia="Calibri" w:hAnsi="David"/>
          <w:noProof w:val="0"/>
        </w:rPr>
      </w:pPr>
      <w:r w:rsidRPr="00BB471E">
        <w:rPr>
          <w:rFonts w:ascii="David" w:eastAsia="Calibri" w:hAnsi="David"/>
          <w:noProof w:val="0"/>
          <w:rtl/>
        </w:rPr>
        <w:t xml:space="preserve">קצבת השארים איננה חבות של הנפטר העתידי אלא של קרן הפנסיה הרלבנטית, ואין לנתבעת, שהינה גרושתו של התובע, מעמד אל מול הקרן בעת התגבשות הזכאות (אריכות ימיו של התובע). (ראו לעניין זה בעמ  4870/06  </w:t>
      </w:r>
      <w:r w:rsidRPr="00BB471E">
        <w:rPr>
          <w:rFonts w:ascii="David" w:eastAsia="Calibri" w:hAnsi="David"/>
          <w:b/>
          <w:bCs/>
          <w:noProof w:val="0"/>
          <w:rtl/>
        </w:rPr>
        <w:t>פלונית נ' עזבון המנוח פלוני</w:t>
      </w:r>
      <w:r w:rsidRPr="00BB471E">
        <w:rPr>
          <w:rFonts w:ascii="David" w:eastAsia="Calibri" w:hAnsi="David"/>
          <w:noProof w:val="0"/>
          <w:rtl/>
        </w:rPr>
        <w:t xml:space="preserve"> ).</w:t>
      </w:r>
    </w:p>
    <w:p w:rsidR="00BB471E" w:rsidRDefault="00BB471E" w:rsidP="00BB471E">
      <w:pPr>
        <w:pStyle w:val="ad"/>
        <w:rPr>
          <w:rFonts w:ascii="David" w:eastAsia="Calibri" w:hAnsi="David"/>
          <w:noProof w:val="0"/>
          <w:rtl/>
        </w:rPr>
      </w:pPr>
    </w:p>
    <w:p w:rsidR="00BB471E" w:rsidRDefault="00BB471E" w:rsidP="004F2AF5">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החוק מחיל הוראה קונקרטית המאפשרת זכאות אך במקרה בו נרשמה הערה מכח החוק.</w:t>
      </w:r>
    </w:p>
    <w:p w:rsidR="00BB471E" w:rsidRPr="00BB471E" w:rsidRDefault="00BB471E" w:rsidP="00BB471E">
      <w:pPr>
        <w:pStyle w:val="ad"/>
        <w:rPr>
          <w:rFonts w:ascii="David" w:eastAsia="Calibri" w:hAnsi="David"/>
          <w:noProof w:val="0"/>
          <w:rtl/>
        </w:rPr>
      </w:pPr>
    </w:p>
    <w:p w:rsidR="00DD0015" w:rsidRDefault="00E21AAC" w:rsidP="004F2AF5">
      <w:pPr>
        <w:numPr>
          <w:ilvl w:val="0"/>
          <w:numId w:val="1"/>
        </w:numPr>
        <w:spacing w:after="160" w:line="360" w:lineRule="auto"/>
        <w:ind w:hanging="579"/>
        <w:contextualSpacing/>
        <w:jc w:val="both"/>
        <w:rPr>
          <w:rFonts w:ascii="David" w:eastAsia="Calibri" w:hAnsi="David"/>
          <w:noProof w:val="0"/>
        </w:rPr>
      </w:pPr>
      <w:r w:rsidRPr="00AA5D84">
        <w:rPr>
          <w:rFonts w:ascii="David" w:eastAsia="Calibri" w:hAnsi="David" w:hint="cs"/>
          <w:noProof w:val="0"/>
          <w:rtl/>
        </w:rPr>
        <w:t>בפסיקה נקבע</w:t>
      </w:r>
      <w:r w:rsidR="00DD0015" w:rsidRPr="00AA5D84">
        <w:rPr>
          <w:rFonts w:ascii="David" w:eastAsia="Calibri" w:hAnsi="David" w:hint="cs"/>
          <w:noProof w:val="0"/>
          <w:rtl/>
        </w:rPr>
        <w:t xml:space="preserve"> כי כאשר לא חל ה</w:t>
      </w:r>
      <w:r w:rsidR="00E23D6D" w:rsidRPr="00AA5D84">
        <w:rPr>
          <w:rFonts w:ascii="David" w:eastAsia="Calibri" w:hAnsi="David" w:hint="cs"/>
          <w:noProof w:val="0"/>
          <w:rtl/>
        </w:rPr>
        <w:t>חוק הרי שממילא אין תחולה להוראו</w:t>
      </w:r>
      <w:r w:rsidR="00DD0015" w:rsidRPr="00AA5D84">
        <w:rPr>
          <w:rFonts w:ascii="David" w:eastAsia="Calibri" w:hAnsi="David" w:hint="cs"/>
          <w:noProof w:val="0"/>
          <w:rtl/>
        </w:rPr>
        <w:t xml:space="preserve">ת </w:t>
      </w:r>
      <w:r w:rsidR="00E23D6D" w:rsidRPr="00AA5D84">
        <w:rPr>
          <w:rFonts w:ascii="David" w:eastAsia="Calibri" w:hAnsi="David" w:hint="cs"/>
          <w:noProof w:val="0"/>
          <w:rtl/>
        </w:rPr>
        <w:t>המעניקות לבן הזוג זכות ל</w:t>
      </w:r>
      <w:r w:rsidR="00DD0015" w:rsidRPr="00AA5D84">
        <w:rPr>
          <w:rFonts w:ascii="David" w:eastAsia="Calibri" w:hAnsi="David" w:hint="cs"/>
          <w:noProof w:val="0"/>
          <w:rtl/>
        </w:rPr>
        <w:t xml:space="preserve">קצבת השארים. </w:t>
      </w:r>
      <w:r w:rsidR="00E837E6" w:rsidRPr="00AA5D84">
        <w:rPr>
          <w:rFonts w:ascii="David" w:eastAsia="Calibri" w:hAnsi="David" w:hint="cs"/>
          <w:noProof w:val="0"/>
          <w:rtl/>
        </w:rPr>
        <w:t xml:space="preserve">ראו למשל </w:t>
      </w:r>
      <w:r w:rsidR="000F4DD8" w:rsidRPr="00AA5D84">
        <w:rPr>
          <w:rFonts w:ascii="David" w:eastAsia="Calibri" w:hAnsi="David"/>
          <w:noProof w:val="0"/>
          <w:rtl/>
        </w:rPr>
        <w:t xml:space="preserve">תמ"ש (משפחה תל אביב-יפו) 32539-10-17 </w:t>
      </w:r>
      <w:r w:rsidR="000F4DD8" w:rsidRPr="00AA5D84">
        <w:rPr>
          <w:rFonts w:ascii="David" w:eastAsia="Calibri" w:hAnsi="David"/>
          <w:b/>
          <w:bCs/>
          <w:noProof w:val="0"/>
          <w:rtl/>
        </w:rPr>
        <w:t>ס.ו נ' א.ד</w:t>
      </w:r>
      <w:r w:rsidR="000F4DD8" w:rsidRPr="00AA5D84">
        <w:rPr>
          <w:rFonts w:ascii="David" w:eastAsia="Calibri" w:hAnsi="David"/>
          <w:noProof w:val="0"/>
          <w:rtl/>
        </w:rPr>
        <w:t xml:space="preserve"> (18.01.2018)‏</w:t>
      </w:r>
      <w:r w:rsidR="000F4DD8" w:rsidRPr="00AA5D84">
        <w:rPr>
          <w:rFonts w:ascii="David" w:eastAsia="Calibri" w:hAnsi="David" w:hint="cs"/>
          <w:noProof w:val="0"/>
          <w:rtl/>
        </w:rPr>
        <w:t>, בו נקבע כי</w:t>
      </w:r>
      <w:r w:rsidR="000F4DD8" w:rsidRPr="00AA5D84">
        <w:rPr>
          <w:rFonts w:ascii="David" w:eastAsia="Calibri" w:hAnsi="David"/>
          <w:noProof w:val="0"/>
          <w:rtl/>
        </w:rPr>
        <w:t>‏ "</w:t>
      </w:r>
      <w:r w:rsidR="000F4DD8" w:rsidRPr="00C55821">
        <w:rPr>
          <w:rFonts w:ascii="David" w:eastAsia="Calibri" w:hAnsi="David"/>
          <w:b/>
          <w:bCs/>
          <w:noProof w:val="0"/>
          <w:rtl/>
        </w:rPr>
        <w:t xml:space="preserve">קצבת שארים זו הינה חידוש גדול של החוק, מאחר שטרם חקיקתו הפקיעו גירושי בני הזוג את זכות בן הזוג לקבל קצבה כלשהי לאחר פטירת החוסך. דא עקא, משעה שמדובר בזכות שלא הייתה קודם, בבחינת יש מאין, נקבע מנגנון למימון עלותה. הדבר נעשה על ידי הפחתה דיפרנציאלית (תלוית מין) של אחוז מסוים מהקצבאות המשולמות לחוסך ולבן הזוג בחיי הראשון (סעיף 16, והתוספת לחוק). </w:t>
      </w:r>
      <w:r w:rsidR="000F4DD8" w:rsidRPr="00C55821">
        <w:rPr>
          <w:rFonts w:ascii="David" w:eastAsia="Calibri" w:hAnsi="David"/>
          <w:b/>
          <w:bCs/>
          <w:noProof w:val="0"/>
          <w:u w:val="single"/>
          <w:rtl/>
        </w:rPr>
        <w:t>הזכות לקבל קצבת שארים על פי החוק מותנית ברישום הערה, כאמור בסעיף 22 (א) רישא, משעה שרישום ההערה מאפשר להתחיל בגביית "הפרמיה" הנ"ל בחיי החוסך.</w:t>
      </w:r>
      <w:r w:rsidR="000F4DD8" w:rsidRPr="00C55821">
        <w:rPr>
          <w:rFonts w:ascii="David" w:eastAsia="Calibri" w:hAnsi="David"/>
          <w:b/>
          <w:bCs/>
          <w:noProof w:val="0"/>
          <w:rtl/>
        </w:rPr>
        <w:t xml:space="preserve"> הדבר דומה לתלות בין תשלום דמי ביטוח לזכאות לתגמולי הביטוח. גזירה שווה זו מבהירה מדוע דין התובענה דנא להידחות - כשם שלא ניתן לדרוש תגמולי ביטוח ללא פוליסה תקפה, כך </w:t>
      </w:r>
      <w:r w:rsidR="000F4DD8" w:rsidRPr="00C55821">
        <w:rPr>
          <w:rFonts w:ascii="David" w:eastAsia="Calibri" w:hAnsi="David"/>
          <w:b/>
          <w:bCs/>
          <w:noProof w:val="0"/>
          <w:u w:val="single"/>
          <w:rtl/>
        </w:rPr>
        <w:t>לא ניתן לקבל קצבת שארים ללא רישום הערה ו</w:t>
      </w:r>
      <w:r w:rsidR="00B702D2" w:rsidRPr="00C55821">
        <w:rPr>
          <w:rFonts w:ascii="David" w:eastAsia="Calibri" w:hAnsi="David"/>
          <w:b/>
          <w:bCs/>
          <w:noProof w:val="0"/>
          <w:u w:val="single"/>
          <w:rtl/>
        </w:rPr>
        <w:t>תשלום "פרמיה" על פי סעיף 16 לח</w:t>
      </w:r>
      <w:r w:rsidR="00B702D2" w:rsidRPr="00C55821">
        <w:rPr>
          <w:rFonts w:ascii="David" w:eastAsia="Calibri" w:hAnsi="David" w:hint="cs"/>
          <w:b/>
          <w:bCs/>
          <w:noProof w:val="0"/>
          <w:u w:val="single"/>
          <w:rtl/>
        </w:rPr>
        <w:t>וק...</w:t>
      </w:r>
      <w:r w:rsidR="00B702D2" w:rsidRPr="00C55821">
        <w:rPr>
          <w:rFonts w:ascii="David" w:eastAsia="Calibri" w:hAnsi="David" w:hint="cs"/>
          <w:b/>
          <w:bCs/>
          <w:noProof w:val="0"/>
          <w:rtl/>
        </w:rPr>
        <w:t xml:space="preserve"> </w:t>
      </w:r>
      <w:r w:rsidR="00B702D2" w:rsidRPr="00C55821">
        <w:rPr>
          <w:rFonts w:ascii="David" w:eastAsia="Calibri" w:hAnsi="David"/>
          <w:b/>
          <w:bCs/>
          <w:noProof w:val="0"/>
          <w:rtl/>
        </w:rPr>
        <w:t xml:space="preserve">שמע מניה, מתן פסק דין בר רישום על פי החוק מותנה בכך שניתן ליישם את פרקים ב' עד ד' לחוק. לכן מותנית הסמכות </w:t>
      </w:r>
      <w:r w:rsidR="00B702D2" w:rsidRPr="00C55821">
        <w:rPr>
          <w:rFonts w:ascii="David" w:eastAsia="Calibri" w:hAnsi="David"/>
          <w:b/>
          <w:bCs/>
          <w:noProof w:val="0"/>
          <w:rtl/>
        </w:rPr>
        <w:lastRenderedPageBreak/>
        <w:t>לתת פסק דין כאמור ביכולת ליישם את סעיף 22 לחוק (הכלול בפרק ד'), קרי – באפשרות לרשום הערה בחיי החוסך</w:t>
      </w:r>
      <w:r w:rsidR="0012178C">
        <w:rPr>
          <w:rFonts w:ascii="David" w:eastAsia="Calibri" w:hAnsi="David" w:hint="cs"/>
          <w:b/>
          <w:bCs/>
          <w:noProof w:val="0"/>
          <w:rtl/>
        </w:rPr>
        <w:t>"</w:t>
      </w:r>
      <w:r w:rsidR="00C55821">
        <w:rPr>
          <w:rFonts w:ascii="David" w:eastAsia="Calibri" w:hAnsi="David"/>
          <w:noProof w:val="0"/>
        </w:rPr>
        <w:t xml:space="preserve"> </w:t>
      </w:r>
      <w:r w:rsidR="0012178C">
        <w:rPr>
          <w:rFonts w:ascii="David" w:eastAsia="Calibri" w:hAnsi="David" w:hint="cs"/>
          <w:noProof w:val="0"/>
          <w:rtl/>
        </w:rPr>
        <w:t xml:space="preserve">(ההדגשות אינם במקור </w:t>
      </w:r>
      <w:r w:rsidR="0012178C">
        <w:rPr>
          <w:rFonts w:ascii="David" w:eastAsia="Calibri" w:hAnsi="David"/>
          <w:noProof w:val="0"/>
          <w:rtl/>
        </w:rPr>
        <w:t>–</w:t>
      </w:r>
      <w:r w:rsidR="0012178C">
        <w:rPr>
          <w:rFonts w:ascii="David" w:eastAsia="Calibri" w:hAnsi="David" w:hint="cs"/>
          <w:noProof w:val="0"/>
          <w:rtl/>
        </w:rPr>
        <w:t xml:space="preserve"> ה.ג.).</w:t>
      </w:r>
    </w:p>
    <w:p w:rsidR="00BB471E" w:rsidRPr="0012178C" w:rsidRDefault="00BB471E" w:rsidP="00BB471E">
      <w:pPr>
        <w:spacing w:after="160" w:line="360" w:lineRule="auto"/>
        <w:ind w:left="720"/>
        <w:contextualSpacing/>
        <w:jc w:val="both"/>
        <w:rPr>
          <w:rFonts w:ascii="David" w:eastAsia="Calibri" w:hAnsi="David"/>
          <w:noProof w:val="0"/>
        </w:rPr>
      </w:pPr>
    </w:p>
    <w:p w:rsidR="00AA5D84" w:rsidRDefault="00A66F4F" w:rsidP="004F2AF5">
      <w:pPr>
        <w:numPr>
          <w:ilvl w:val="0"/>
          <w:numId w:val="1"/>
        </w:numPr>
        <w:spacing w:after="160" w:line="360" w:lineRule="auto"/>
        <w:ind w:hanging="579"/>
        <w:contextualSpacing/>
        <w:jc w:val="both"/>
        <w:rPr>
          <w:rFonts w:ascii="David" w:eastAsia="Calibri" w:hAnsi="David"/>
          <w:noProof w:val="0"/>
        </w:rPr>
      </w:pPr>
      <w:r w:rsidRPr="00AA5D84">
        <w:rPr>
          <w:rFonts w:ascii="David" w:eastAsia="Calibri" w:hAnsi="David" w:hint="cs"/>
          <w:noProof w:val="0"/>
          <w:rtl/>
        </w:rPr>
        <w:t>במקרה דנן הסכם הגירושין אושר על ידי בית המשפט ביום 2.5.2021</w:t>
      </w:r>
      <w:r w:rsidR="008F69AC" w:rsidRPr="00AA5D84">
        <w:rPr>
          <w:rFonts w:ascii="David" w:eastAsia="Calibri" w:hAnsi="David" w:hint="cs"/>
          <w:noProof w:val="0"/>
          <w:rtl/>
        </w:rPr>
        <w:t>, היינו לאחר כניסת החוק לתוקף, כך שהיה על הצדדים (המיוצגים שניהם) להיות מודעים להבדלים בין מסלול על פי החוק ושלא על פי החוק, וליתרונות הגלומים ברישום פסק דין רכושי על פי החוק;</w:t>
      </w:r>
      <w:r w:rsidR="00AA5D84">
        <w:rPr>
          <w:rFonts w:ascii="David" w:eastAsia="Calibri" w:hAnsi="David" w:hint="cs"/>
          <w:noProof w:val="0"/>
          <w:rtl/>
        </w:rPr>
        <w:t xml:space="preserve"> למרות האמור הצדדים בחרו באפשרות של היוון הזכויות העתידיות וממילא החוק האמור אינו חל בעניינו ופסק הדין אינו ניתן לרישום על פי החוק; </w:t>
      </w:r>
    </w:p>
    <w:p w:rsidR="00AA5D84" w:rsidRDefault="00AA5D84" w:rsidP="00043C4F">
      <w:pPr>
        <w:spacing w:after="160" w:line="360" w:lineRule="auto"/>
        <w:ind w:left="720"/>
        <w:contextualSpacing/>
        <w:jc w:val="both"/>
        <w:rPr>
          <w:rFonts w:ascii="David" w:eastAsia="Calibri" w:hAnsi="David"/>
          <w:noProof w:val="0"/>
          <w:rtl/>
        </w:rPr>
      </w:pPr>
    </w:p>
    <w:p w:rsidR="00043C4F" w:rsidRPr="00AA5D84" w:rsidRDefault="00A144A1" w:rsidP="004F2AF5">
      <w:pPr>
        <w:numPr>
          <w:ilvl w:val="0"/>
          <w:numId w:val="1"/>
        </w:numPr>
        <w:spacing w:after="160" w:line="360" w:lineRule="auto"/>
        <w:ind w:hanging="579"/>
        <w:contextualSpacing/>
        <w:jc w:val="both"/>
        <w:rPr>
          <w:rFonts w:ascii="David" w:eastAsia="Calibri" w:hAnsi="David"/>
          <w:noProof w:val="0"/>
        </w:rPr>
      </w:pPr>
      <w:r>
        <w:rPr>
          <w:rFonts w:ascii="David" w:eastAsia="Calibri" w:hAnsi="David" w:hint="cs"/>
          <w:noProof w:val="0"/>
          <w:rtl/>
        </w:rPr>
        <w:t xml:space="preserve">זאת ועוד, </w:t>
      </w:r>
      <w:r w:rsidR="00043C4F">
        <w:rPr>
          <w:rFonts w:ascii="David" w:eastAsia="Calibri" w:hAnsi="David" w:hint="cs"/>
          <w:noProof w:val="0"/>
          <w:rtl/>
        </w:rPr>
        <w:t xml:space="preserve">הצדדים </w:t>
      </w:r>
      <w:r w:rsidR="00043C4F" w:rsidRPr="00043C4F">
        <w:rPr>
          <w:rFonts w:ascii="David" w:eastAsia="Calibri" w:hAnsi="David"/>
          <w:noProof w:val="0"/>
          <w:rtl/>
        </w:rPr>
        <w:t xml:space="preserve">לא התייחסו </w:t>
      </w:r>
      <w:r w:rsidR="00043C4F">
        <w:rPr>
          <w:rFonts w:ascii="David" w:eastAsia="Calibri" w:hAnsi="David" w:hint="cs"/>
          <w:noProof w:val="0"/>
          <w:rtl/>
        </w:rPr>
        <w:t xml:space="preserve">במסגרת ההסכם </w:t>
      </w:r>
      <w:r w:rsidR="00043C4F" w:rsidRPr="00043C4F">
        <w:rPr>
          <w:rFonts w:ascii="David" w:eastAsia="Calibri" w:hAnsi="David"/>
          <w:noProof w:val="0"/>
          <w:rtl/>
        </w:rPr>
        <w:t xml:space="preserve">לזכות לקצבת שארים, </w:t>
      </w:r>
      <w:r w:rsidR="00043C4F">
        <w:rPr>
          <w:rFonts w:ascii="David" w:eastAsia="Calibri" w:hAnsi="David" w:hint="cs"/>
          <w:noProof w:val="0"/>
          <w:rtl/>
        </w:rPr>
        <w:t xml:space="preserve">והיא אינה מנויה בזכויות </w:t>
      </w:r>
      <w:r w:rsidR="00077FBD">
        <w:rPr>
          <w:rFonts w:ascii="David" w:eastAsia="Calibri" w:hAnsi="David" w:hint="cs"/>
          <w:noProof w:val="0"/>
          <w:rtl/>
        </w:rPr>
        <w:t xml:space="preserve">שציינו הצדדים בסעיף 2 להסכם, אלא </w:t>
      </w:r>
      <w:r w:rsidR="00043C4F" w:rsidRPr="00AA5D84">
        <w:rPr>
          <w:rFonts w:ascii="David" w:eastAsia="Calibri" w:hAnsi="David" w:hint="cs"/>
          <w:noProof w:val="0"/>
          <w:rtl/>
        </w:rPr>
        <w:t xml:space="preserve">הוראות ההסכם שותקות </w:t>
      </w:r>
      <w:r w:rsidR="00043C4F">
        <w:rPr>
          <w:rFonts w:ascii="David" w:eastAsia="Calibri" w:hAnsi="David" w:hint="cs"/>
          <w:noProof w:val="0"/>
          <w:rtl/>
        </w:rPr>
        <w:t>לעניין זה</w:t>
      </w:r>
      <w:r w:rsidR="00043C4F" w:rsidRPr="00AA5D84">
        <w:rPr>
          <w:rFonts w:ascii="David" w:eastAsia="Calibri" w:hAnsi="David" w:hint="cs"/>
          <w:noProof w:val="0"/>
          <w:rtl/>
        </w:rPr>
        <w:t>.</w:t>
      </w:r>
    </w:p>
    <w:p w:rsidR="00043C4F" w:rsidRPr="00A144A1" w:rsidRDefault="00043C4F" w:rsidP="00043C4F">
      <w:pPr>
        <w:pStyle w:val="ad"/>
        <w:rPr>
          <w:rFonts w:ascii="David" w:eastAsia="Calibri" w:hAnsi="David"/>
          <w:noProof w:val="0"/>
          <w:rtl/>
        </w:rPr>
      </w:pPr>
    </w:p>
    <w:p w:rsidR="0008647C" w:rsidRDefault="008F69AC" w:rsidP="004F2AF5">
      <w:pPr>
        <w:numPr>
          <w:ilvl w:val="0"/>
          <w:numId w:val="1"/>
        </w:numPr>
        <w:spacing w:after="160" w:line="360" w:lineRule="auto"/>
        <w:ind w:hanging="579"/>
        <w:contextualSpacing/>
        <w:jc w:val="both"/>
        <w:rPr>
          <w:rFonts w:ascii="David" w:eastAsia="Calibri" w:hAnsi="David"/>
          <w:noProof w:val="0"/>
        </w:rPr>
      </w:pPr>
      <w:r w:rsidRPr="00AA5D84">
        <w:rPr>
          <w:rFonts w:ascii="David" w:eastAsia="Calibri" w:hAnsi="David" w:hint="cs"/>
          <w:noProof w:val="0"/>
          <w:rtl/>
        </w:rPr>
        <w:t>לאור כל האמור</w:t>
      </w:r>
      <w:r w:rsidR="006A5DC5">
        <w:rPr>
          <w:rFonts w:ascii="David" w:eastAsia="Calibri" w:hAnsi="David" w:hint="cs"/>
          <w:noProof w:val="0"/>
          <w:rtl/>
        </w:rPr>
        <w:t>,</w:t>
      </w:r>
      <w:r w:rsidRPr="00AA5D84">
        <w:rPr>
          <w:rFonts w:ascii="David" w:eastAsia="Calibri" w:hAnsi="David" w:hint="cs"/>
          <w:noProof w:val="0"/>
          <w:rtl/>
        </w:rPr>
        <w:t xml:space="preserve"> הרי </w:t>
      </w:r>
      <w:r w:rsidR="00A66F4F" w:rsidRPr="00AA5D84">
        <w:rPr>
          <w:rFonts w:ascii="David" w:eastAsia="Calibri" w:hAnsi="David" w:hint="cs"/>
          <w:noProof w:val="0"/>
          <w:rtl/>
        </w:rPr>
        <w:t>ש</w:t>
      </w:r>
      <w:r w:rsidR="002B762F" w:rsidRPr="00AA5D84">
        <w:rPr>
          <w:rFonts w:ascii="David" w:eastAsia="Calibri" w:hAnsi="David"/>
          <w:noProof w:val="0"/>
          <w:rtl/>
        </w:rPr>
        <w:t xml:space="preserve">לא ניתן אפוא בידי האישה </w:t>
      </w:r>
      <w:r w:rsidR="00AA5D84" w:rsidRPr="00AA5D84">
        <w:rPr>
          <w:rFonts w:ascii="David" w:eastAsia="Calibri" w:hAnsi="David" w:hint="cs"/>
          <w:noProof w:val="0"/>
          <w:rtl/>
        </w:rPr>
        <w:t xml:space="preserve">להחיל </w:t>
      </w:r>
      <w:r w:rsidR="002B762F" w:rsidRPr="00AA5D84">
        <w:rPr>
          <w:rFonts w:ascii="David" w:eastAsia="Calibri" w:hAnsi="David"/>
          <w:noProof w:val="0"/>
          <w:rtl/>
        </w:rPr>
        <w:t xml:space="preserve">את החוק על עניינינו </w:t>
      </w:r>
      <w:r w:rsidR="006A5DC5">
        <w:rPr>
          <w:rFonts w:ascii="David" w:eastAsia="Calibri" w:hAnsi="David" w:hint="cs"/>
          <w:noProof w:val="0"/>
          <w:rtl/>
        </w:rPr>
        <w:t>"</w:t>
      </w:r>
      <w:r w:rsidR="002B762F" w:rsidRPr="00AA5D84">
        <w:rPr>
          <w:rFonts w:ascii="David" w:eastAsia="Calibri" w:hAnsi="David"/>
          <w:noProof w:val="0"/>
          <w:rtl/>
        </w:rPr>
        <w:t>בדלת האחורית</w:t>
      </w:r>
      <w:r w:rsidR="006A5DC5">
        <w:rPr>
          <w:rFonts w:ascii="David" w:eastAsia="Calibri" w:hAnsi="David" w:hint="cs"/>
          <w:noProof w:val="0"/>
          <w:rtl/>
        </w:rPr>
        <w:t>"</w:t>
      </w:r>
      <w:r w:rsidR="002B762F" w:rsidRPr="00AA5D84">
        <w:rPr>
          <w:rFonts w:ascii="David" w:eastAsia="Calibri" w:hAnsi="David"/>
          <w:noProof w:val="0"/>
          <w:rtl/>
        </w:rPr>
        <w:t xml:space="preserve"> מכוח טענתה לזכותה לקצבת שארים על פי החוק, לאחר שהסכימה מפורשות על איזון בדרך של היוון זכויות. </w:t>
      </w:r>
    </w:p>
    <w:p w:rsidR="006C3318" w:rsidRDefault="006C3318" w:rsidP="006C3318">
      <w:pPr>
        <w:pStyle w:val="ad"/>
        <w:rPr>
          <w:rFonts w:ascii="David" w:eastAsia="Calibri" w:hAnsi="David"/>
          <w:noProof w:val="0"/>
          <w:rtl/>
        </w:rPr>
      </w:pPr>
    </w:p>
    <w:p w:rsidR="002B762F" w:rsidRPr="0076725E" w:rsidRDefault="002B762F" w:rsidP="004F2AF5">
      <w:pPr>
        <w:numPr>
          <w:ilvl w:val="0"/>
          <w:numId w:val="1"/>
        </w:numPr>
        <w:spacing w:after="160" w:line="360" w:lineRule="auto"/>
        <w:ind w:hanging="579"/>
        <w:contextualSpacing/>
        <w:jc w:val="both"/>
        <w:rPr>
          <w:rFonts w:ascii="David" w:eastAsia="Calibri" w:hAnsi="David"/>
          <w:b/>
          <w:bCs/>
          <w:noProof w:val="0"/>
        </w:rPr>
      </w:pPr>
      <w:r w:rsidRPr="0076725E">
        <w:rPr>
          <w:rFonts w:ascii="David" w:eastAsia="Calibri" w:hAnsi="David"/>
          <w:b/>
          <w:bCs/>
          <w:noProof w:val="0"/>
          <w:rtl/>
        </w:rPr>
        <w:t>לפיכך</w:t>
      </w:r>
      <w:r w:rsidR="00077FBD" w:rsidRPr="0076725E">
        <w:rPr>
          <w:rFonts w:ascii="David" w:eastAsia="Calibri" w:hAnsi="David" w:hint="cs"/>
          <w:b/>
          <w:bCs/>
          <w:noProof w:val="0"/>
          <w:rtl/>
        </w:rPr>
        <w:t>,</w:t>
      </w:r>
      <w:r w:rsidRPr="0076725E">
        <w:rPr>
          <w:rFonts w:ascii="David" w:eastAsia="Calibri" w:hAnsi="David"/>
          <w:b/>
          <w:bCs/>
          <w:noProof w:val="0"/>
          <w:rtl/>
        </w:rPr>
        <w:t xml:space="preserve"> </w:t>
      </w:r>
      <w:r w:rsidR="00077FBD" w:rsidRPr="0076725E">
        <w:rPr>
          <w:rFonts w:ascii="David" w:eastAsia="Calibri" w:hAnsi="David" w:hint="cs"/>
          <w:b/>
          <w:bCs/>
          <w:noProof w:val="0"/>
          <w:rtl/>
        </w:rPr>
        <w:t xml:space="preserve">גם </w:t>
      </w:r>
      <w:r w:rsidR="00077FBD" w:rsidRPr="0076725E">
        <w:rPr>
          <w:rFonts w:ascii="David" w:eastAsia="Calibri" w:hAnsi="David"/>
          <w:b/>
          <w:bCs/>
          <w:noProof w:val="0"/>
          <w:rtl/>
        </w:rPr>
        <w:t xml:space="preserve">לעניין זה </w:t>
      </w:r>
      <w:r w:rsidRPr="0076725E">
        <w:rPr>
          <w:rFonts w:ascii="David" w:eastAsia="Calibri" w:hAnsi="David"/>
          <w:b/>
          <w:bCs/>
          <w:noProof w:val="0"/>
          <w:rtl/>
        </w:rPr>
        <w:t>לא מצאתי לקבל טענת הנתבעת.</w:t>
      </w:r>
    </w:p>
    <w:p w:rsidR="002B762F" w:rsidRDefault="002B762F" w:rsidP="002B762F">
      <w:pPr>
        <w:pStyle w:val="ad"/>
        <w:rPr>
          <w:rFonts w:ascii="David" w:eastAsia="Calibri" w:hAnsi="David"/>
          <w:noProof w:val="0"/>
          <w:rtl/>
        </w:rPr>
      </w:pPr>
    </w:p>
    <w:p w:rsidR="001956B0" w:rsidRPr="0076725E" w:rsidRDefault="001956B0" w:rsidP="001956B0">
      <w:pPr>
        <w:spacing w:line="360" w:lineRule="auto"/>
        <w:jc w:val="both"/>
        <w:rPr>
          <w:rFonts w:ascii="David" w:eastAsia="Calibri" w:hAnsi="David"/>
          <w:b/>
          <w:bCs/>
          <w:noProof w:val="0"/>
          <w:sz w:val="26"/>
          <w:szCs w:val="26"/>
          <w:rtl/>
        </w:rPr>
      </w:pPr>
      <w:r w:rsidRPr="0076725E">
        <w:rPr>
          <w:rFonts w:ascii="David" w:eastAsia="Calibri" w:hAnsi="David"/>
          <w:b/>
          <w:bCs/>
          <w:noProof w:val="0"/>
          <w:sz w:val="26"/>
          <w:szCs w:val="26"/>
          <w:rtl/>
        </w:rPr>
        <w:t>שיעור הפנסיה של התובע</w:t>
      </w:r>
    </w:p>
    <w:p w:rsidR="001956B0" w:rsidRPr="001956B0" w:rsidRDefault="001956B0" w:rsidP="001956B0">
      <w:pPr>
        <w:spacing w:after="160" w:line="256" w:lineRule="auto"/>
        <w:ind w:left="720"/>
        <w:contextualSpacing/>
        <w:rPr>
          <w:rFonts w:ascii="David" w:eastAsia="Calibri" w:hAnsi="David"/>
          <w:noProof w:val="0"/>
        </w:rPr>
      </w:pPr>
    </w:p>
    <w:p w:rsidR="00A144A1" w:rsidRDefault="00A144A1" w:rsidP="004F2AF5">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t xml:space="preserve">הנתבעת </w:t>
      </w:r>
      <w:r w:rsidR="006A5DC5" w:rsidRPr="00A67C4E">
        <w:rPr>
          <w:rFonts w:ascii="David" w:eastAsia="Calibri" w:hAnsi="David" w:hint="cs"/>
          <w:noProof w:val="0"/>
          <w:rtl/>
        </w:rPr>
        <w:t>קבלה</w:t>
      </w:r>
      <w:r w:rsidR="00A67C4E">
        <w:rPr>
          <w:rFonts w:ascii="David" w:eastAsia="Calibri" w:hAnsi="David" w:hint="cs"/>
          <w:noProof w:val="0"/>
          <w:rtl/>
        </w:rPr>
        <w:t xml:space="preserve"> </w:t>
      </w:r>
      <w:r>
        <w:rPr>
          <w:rFonts w:ascii="David" w:eastAsia="Calibri" w:hAnsi="David" w:hint="cs"/>
          <w:noProof w:val="0"/>
          <w:rtl/>
        </w:rPr>
        <w:t>על אופן חישוב שיעור חלקה בפנסיה של התובע.</w:t>
      </w:r>
    </w:p>
    <w:p w:rsidR="00A144A1" w:rsidRPr="00A144A1" w:rsidRDefault="00A144A1" w:rsidP="00A144A1">
      <w:pPr>
        <w:spacing w:after="160" w:line="360" w:lineRule="auto"/>
        <w:ind w:left="651"/>
        <w:contextualSpacing/>
        <w:jc w:val="both"/>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b/>
          <w:bCs/>
          <w:noProof w:val="0"/>
          <w:rtl/>
        </w:rPr>
        <w:t>לטענת הנתבעת</w:t>
      </w:r>
      <w:r w:rsidRPr="001956B0">
        <w:rPr>
          <w:rFonts w:ascii="David" w:eastAsia="Calibri" w:hAnsi="David"/>
          <w:noProof w:val="0"/>
          <w:rtl/>
        </w:rPr>
        <w:t xml:space="preserve"> ב</w:t>
      </w:r>
      <w:r w:rsidR="006A3458">
        <w:rPr>
          <w:rFonts w:ascii="David" w:eastAsia="Calibri" w:hAnsi="David" w:hint="cs"/>
          <w:noProof w:val="0"/>
          <w:rtl/>
        </w:rPr>
        <w:t>פסיקתה שצורפה ל</w:t>
      </w:r>
      <w:r w:rsidRPr="001956B0">
        <w:rPr>
          <w:rFonts w:ascii="David" w:eastAsia="Calibri" w:hAnsi="David"/>
          <w:noProof w:val="0"/>
          <w:rtl/>
        </w:rPr>
        <w:t xml:space="preserve">חווה"ד המומחה חישב את שיעור חלקה בפנסיה של התובע (33.26%) לפי היחס בין הותק בתקופה המשותפת (4.9.95-15.6.16 = 20.79 שנים) לוותק הכולל בפרישה (4.9.95-30.11.26- 31.25 שנים) – וחישוב זה שגוי מאחר והוא מייחס לשנים המשותפות אותו משקל כמו לשאר שנות הותק כאשר בפועל המצב שונה – מאחר והשנים המשותפות תרמו יותר לפנסיה באופן יחסי (בגלל שיעור הפנסיה המוגדל) מאשר השנים שלאחר מועד הפירוד. לפי חווה"ד בתקופה המשותפת נצברו לתובע 54.5% מתוך שיעור הפנסיה המירבי של התובע- 76%. משמע, במקרה דנן 54.5% מתוך הגמלה המירבית של התובע- 76% - היינו שיעור של 71.7% נצברו בתקופה המשותפת, ולפיכך חלקה אמור לעמוד על 35.86% (מחצית משיעור של 71.7%). </w:t>
      </w:r>
    </w:p>
    <w:p w:rsidR="001956B0" w:rsidRPr="001956B0" w:rsidRDefault="001956B0" w:rsidP="001956B0">
      <w:pPr>
        <w:spacing w:line="360" w:lineRule="auto"/>
        <w:ind w:left="720"/>
        <w:contextualSpacing/>
        <w:jc w:val="both"/>
        <w:rPr>
          <w:rFonts w:ascii="David" w:eastAsia="Calibri" w:hAnsi="David"/>
          <w:noProof w:val="0"/>
        </w:rPr>
      </w:pPr>
    </w:p>
    <w:p w:rsidR="001956B0" w:rsidRPr="001956B0" w:rsidRDefault="00791E61" w:rsidP="004F2AF5">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t xml:space="preserve">הנתבעת טענה </w:t>
      </w:r>
      <w:r w:rsidRPr="001956B0">
        <w:rPr>
          <w:rFonts w:ascii="David" w:eastAsia="Calibri" w:hAnsi="David"/>
          <w:noProof w:val="0"/>
          <w:rtl/>
        </w:rPr>
        <w:t xml:space="preserve">בסיכומי התשובה מטעמה כי טענתה לעניין </w:t>
      </w:r>
      <w:r w:rsidR="001956B0" w:rsidRPr="001956B0">
        <w:rPr>
          <w:rFonts w:ascii="David" w:eastAsia="Calibri" w:hAnsi="David"/>
          <w:noProof w:val="0"/>
          <w:rtl/>
        </w:rPr>
        <w:t xml:space="preserve">שיעור הפנסיה המרבי המוגדל של התובע נסמכת על הוראות </w:t>
      </w:r>
      <w:r w:rsidR="001956B0" w:rsidRPr="001956B0">
        <w:rPr>
          <w:rFonts w:ascii="David" w:eastAsia="Calibri" w:hAnsi="David"/>
          <w:b/>
          <w:bCs/>
          <w:noProof w:val="0"/>
          <w:rtl/>
        </w:rPr>
        <w:t>חוק שירות המדינה (גמלאות)</w:t>
      </w:r>
      <w:r w:rsidR="001956B0" w:rsidRPr="001956B0">
        <w:rPr>
          <w:rFonts w:ascii="David" w:eastAsia="Calibri" w:hAnsi="David"/>
          <w:noProof w:val="0"/>
          <w:rtl/>
        </w:rPr>
        <w:t xml:space="preserve"> </w:t>
      </w:r>
      <w:r w:rsidR="001956B0" w:rsidRPr="001956B0">
        <w:rPr>
          <w:rFonts w:ascii="David" w:eastAsia="Calibri" w:hAnsi="David"/>
          <w:b/>
          <w:bCs/>
          <w:noProof w:val="0"/>
          <w:rtl/>
        </w:rPr>
        <w:t>[נוסח משולב]</w:t>
      </w:r>
      <w:r w:rsidR="001956B0" w:rsidRPr="001956B0">
        <w:rPr>
          <w:rFonts w:ascii="David" w:eastAsia="Calibri" w:hAnsi="David"/>
          <w:noProof w:val="0"/>
          <w:rtl/>
        </w:rPr>
        <w:t xml:space="preserve">, תש"ל-1970 (סעיף 79ב' לחוק), החל על התובע ומעניק לו בנוסף לאחוזי צבירת הגמלה, גם אחוזים נוספים בגין שירותו הצבאי בשיעור של 6% נוספים (ומי ששרת ביחידות מיוחדות אף זוכה לטענתה להגדלה של 9%). </w:t>
      </w:r>
    </w:p>
    <w:p w:rsidR="001956B0" w:rsidRPr="00791E61" w:rsidRDefault="001956B0" w:rsidP="001956B0">
      <w:pPr>
        <w:spacing w:after="160" w:line="256" w:lineRule="auto"/>
        <w:ind w:left="651"/>
        <w:contextualSpacing/>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t>הנתבעת עתרה להורות למומחה לתקן חוות דעתו כאמור; ולחילופין, ככל שבית המשפט יקבע כי יש לערוך החישוב לפי ותק, יתבקש ביהמ"ש להורות על תיקון הותק המשותף כך שיכלול את שנות הותק של התובע בתקופה מיום 3.9.1972-18.10.1976- תקופה שמשפיעה הן על הותק המשותף והן על הותק הכולל (הן על המונה והן על המכנה בנוסחה).</w:t>
      </w:r>
    </w:p>
    <w:p w:rsidR="001956B0" w:rsidRPr="001956B0" w:rsidRDefault="001956B0" w:rsidP="001956B0">
      <w:pPr>
        <w:spacing w:after="160" w:line="256" w:lineRule="auto"/>
        <w:ind w:left="651"/>
        <w:contextualSpacing/>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b/>
          <w:bCs/>
          <w:noProof w:val="0"/>
          <w:rtl/>
        </w:rPr>
        <w:t>לטענת התובע</w:t>
      </w:r>
      <w:r w:rsidRPr="001956B0">
        <w:rPr>
          <w:rFonts w:ascii="David" w:eastAsia="Calibri" w:hAnsi="David"/>
          <w:noProof w:val="0"/>
          <w:rtl/>
        </w:rPr>
        <w:t>, כלל הנתונים שהובאו במסגרת טענת הנתבעת האמורה נגועים בדיסאינפורמציה. כך לדבריו, שיעור הפנסיה שהוא צבר בתקופת החיים המשותפת עומד על 54.5% כפי שעולה ממכתב משרד רוה"מ מיום 14.9.21. בניגוד לטענת הנתבעת, הרי ששיעור צבירה זה כולל בחובו 8.17% ותק שנרכשו בגין התקופה מיום 3.9.1972-18.10.1976 ומתווספים לשיעור 46.33% שנצברו מראשית עבודתו במשרד ועד למועד הפירוד ביום 15.6.16. אף טענת הנתבעת אודות שיעור פנסיה מירבי מוגדל בשיעור של 76% אינה מבוססת וממילא לא נודעה ולא הוכרה בישראל, ושיעור הפנסיה המירבי שהתובע אולי יצליח לצבור עד לפרישתו עומד על 70%.</w:t>
      </w:r>
    </w:p>
    <w:p w:rsidR="001956B0" w:rsidRPr="001956B0" w:rsidRDefault="001956B0" w:rsidP="001956B0">
      <w:pPr>
        <w:spacing w:after="160" w:line="256" w:lineRule="auto"/>
        <w:ind w:left="651"/>
        <w:contextualSpacing/>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t>לטענת התובע, המומחה אימץ גם לגבי תחשיב זכויות הנתבעת את השיטה הנהוגה לפיה בודקים את אחוז הצבירה בתקופת החיים המשותפת ומחלקים אותו לשניים. זהו התחשיב הפשוט הנהוג והרווח, והנתבעת לא הבהירה היכן נהוגה שיטת החישוב המורכבת שהציגה בעמדתה, וכך סבר גם המומחה בתשובתו לשאלת הבהרה מס' 6.</w:t>
      </w:r>
    </w:p>
    <w:p w:rsidR="001956B0" w:rsidRPr="001956B0" w:rsidRDefault="001956B0" w:rsidP="001956B0">
      <w:pPr>
        <w:spacing w:after="160" w:line="256" w:lineRule="auto"/>
        <w:ind w:left="651"/>
        <w:contextualSpacing/>
        <w:rPr>
          <w:rFonts w:ascii="David" w:eastAsia="Calibri" w:hAnsi="David"/>
          <w:noProof w:val="0"/>
        </w:rPr>
      </w:pPr>
    </w:p>
    <w:p w:rsidR="001956B0" w:rsidRDefault="001956B0" w:rsidP="004F2AF5">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b/>
          <w:bCs/>
          <w:noProof w:val="0"/>
          <w:rtl/>
        </w:rPr>
        <w:t>בסיכומי התשובה טענה הנתבעת</w:t>
      </w:r>
      <w:r w:rsidRPr="001956B0">
        <w:rPr>
          <w:rFonts w:ascii="David" w:eastAsia="Calibri" w:hAnsi="David"/>
          <w:noProof w:val="0"/>
          <w:rtl/>
        </w:rPr>
        <w:t xml:space="preserve"> כי המומחה לא הפנה להנחיה חוקית כלשהי לדרך החישוב בה בחר ומומחה מטעמה עמו התייעצה באופן פרטי סבר כי דרך חישוב זו שגויה ואינה במסגרת הפרקטיקה המקובלת לחישובים אקטואריים. אף התובע לא הפנה בסיכומיו לאסמכתאות לשיטת חישוב זו ולפיכך על בית המשפט להכריע בה בהתאם לשיקול דעתו ועל סמך ההיגיון המונח ביסוד טיעוניה.</w:t>
      </w:r>
    </w:p>
    <w:p w:rsidR="006A3458" w:rsidRDefault="006A3458" w:rsidP="006A3458">
      <w:pPr>
        <w:pStyle w:val="ad"/>
        <w:rPr>
          <w:rFonts w:ascii="David" w:eastAsia="Calibri" w:hAnsi="David"/>
          <w:noProof w:val="0"/>
          <w:rtl/>
        </w:rPr>
      </w:pPr>
    </w:p>
    <w:p w:rsidR="006A3458" w:rsidRPr="002511B2" w:rsidRDefault="006A3458" w:rsidP="004F2AF5">
      <w:pPr>
        <w:numPr>
          <w:ilvl w:val="0"/>
          <w:numId w:val="1"/>
        </w:numPr>
        <w:spacing w:after="160" w:line="360" w:lineRule="auto"/>
        <w:ind w:left="651"/>
        <w:contextualSpacing/>
        <w:jc w:val="both"/>
        <w:rPr>
          <w:rFonts w:ascii="David" w:eastAsia="Calibri" w:hAnsi="David"/>
          <w:noProof w:val="0"/>
        </w:rPr>
      </w:pPr>
      <w:r w:rsidRPr="002511B2">
        <w:rPr>
          <w:rFonts w:ascii="David" w:eastAsia="Calibri" w:hAnsi="David" w:hint="cs"/>
          <w:noProof w:val="0"/>
          <w:rtl/>
        </w:rPr>
        <w:t xml:space="preserve">בפתח הדיון בסוגיה זו יובהר כי מאחר והצדדים בעניינו הסכימו על היוון הזכויות, </w:t>
      </w:r>
      <w:r w:rsidR="002511B2">
        <w:rPr>
          <w:rFonts w:ascii="David" w:eastAsia="Calibri" w:hAnsi="David" w:hint="cs"/>
          <w:noProof w:val="0"/>
          <w:rtl/>
        </w:rPr>
        <w:t xml:space="preserve">דומה </w:t>
      </w:r>
      <w:r w:rsidRPr="002511B2">
        <w:rPr>
          <w:rFonts w:ascii="David" w:eastAsia="Calibri" w:hAnsi="David" w:hint="cs"/>
          <w:b/>
          <w:bCs/>
          <w:noProof w:val="0"/>
          <w:rtl/>
        </w:rPr>
        <w:t xml:space="preserve">אין רלוונטיות </w:t>
      </w:r>
      <w:r w:rsidR="002511B2" w:rsidRPr="002511B2">
        <w:rPr>
          <w:rFonts w:ascii="David" w:eastAsia="Calibri" w:hAnsi="David" w:hint="cs"/>
          <w:b/>
          <w:bCs/>
          <w:noProof w:val="0"/>
          <w:rtl/>
        </w:rPr>
        <w:t>למחלוקת דנן המתייחסת לפסיקתה</w:t>
      </w:r>
      <w:r w:rsidR="002511B2">
        <w:rPr>
          <w:rFonts w:ascii="David" w:eastAsia="Calibri" w:hAnsi="David" w:hint="cs"/>
          <w:noProof w:val="0"/>
          <w:rtl/>
        </w:rPr>
        <w:t xml:space="preserve"> המצורפת לחוות הדעת בהתאם ל</w:t>
      </w:r>
      <w:r w:rsidRPr="002511B2">
        <w:rPr>
          <w:rFonts w:ascii="David" w:eastAsia="Calibri" w:hAnsi="David" w:hint="cs"/>
          <w:noProof w:val="0"/>
          <w:rtl/>
        </w:rPr>
        <w:t xml:space="preserve">חלופה השנייה </w:t>
      </w:r>
      <w:r w:rsidR="002511B2">
        <w:rPr>
          <w:rFonts w:ascii="David" w:eastAsia="Calibri" w:hAnsi="David" w:hint="cs"/>
          <w:noProof w:val="0"/>
          <w:rtl/>
        </w:rPr>
        <w:t xml:space="preserve">שהציג המומחה </w:t>
      </w:r>
      <w:r w:rsidRPr="002511B2">
        <w:rPr>
          <w:rFonts w:ascii="David" w:eastAsia="Calibri" w:hAnsi="David" w:hint="cs"/>
          <w:noProof w:val="0"/>
          <w:rtl/>
        </w:rPr>
        <w:t xml:space="preserve">לחלוקה על פי החוק, </w:t>
      </w:r>
      <w:r w:rsidR="00713CEA">
        <w:rPr>
          <w:rFonts w:ascii="David" w:eastAsia="Calibri" w:hAnsi="David" w:hint="cs"/>
          <w:noProof w:val="0"/>
          <w:rtl/>
        </w:rPr>
        <w:t>ו</w:t>
      </w:r>
      <w:r w:rsidRPr="002511B2">
        <w:rPr>
          <w:rFonts w:ascii="David" w:eastAsia="Calibri" w:hAnsi="David" w:hint="cs"/>
          <w:noProof w:val="0"/>
          <w:rtl/>
        </w:rPr>
        <w:t>אינה חלה בעניינ</w:t>
      </w:r>
      <w:r w:rsidR="00791E61" w:rsidRPr="002511B2">
        <w:rPr>
          <w:rFonts w:ascii="David" w:eastAsia="Calibri" w:hAnsi="David" w:hint="cs"/>
          <w:noProof w:val="0"/>
          <w:rtl/>
        </w:rPr>
        <w:t>נ</w:t>
      </w:r>
      <w:r w:rsidRPr="002511B2">
        <w:rPr>
          <w:rFonts w:ascii="David" w:eastAsia="Calibri" w:hAnsi="David" w:hint="cs"/>
          <w:noProof w:val="0"/>
          <w:rtl/>
        </w:rPr>
        <w:t>ו.</w:t>
      </w:r>
    </w:p>
    <w:p w:rsidR="006A3458" w:rsidRPr="00713CEA" w:rsidRDefault="006A3458" w:rsidP="006A3458">
      <w:pPr>
        <w:pStyle w:val="ad"/>
        <w:rPr>
          <w:rFonts w:ascii="David" w:eastAsia="Calibri" w:hAnsi="David"/>
          <w:b/>
          <w:bCs/>
          <w:noProof w:val="0"/>
          <w:rtl/>
        </w:rPr>
      </w:pPr>
    </w:p>
    <w:p w:rsidR="00791E61" w:rsidRPr="00791E61" w:rsidRDefault="00713CEA" w:rsidP="004F2AF5">
      <w:pPr>
        <w:numPr>
          <w:ilvl w:val="0"/>
          <w:numId w:val="1"/>
        </w:numPr>
        <w:spacing w:after="160" w:line="360" w:lineRule="auto"/>
        <w:ind w:left="651"/>
        <w:contextualSpacing/>
        <w:jc w:val="both"/>
        <w:rPr>
          <w:rFonts w:ascii="David" w:eastAsia="Calibri" w:hAnsi="David"/>
          <w:noProof w:val="0"/>
          <w:rtl/>
        </w:rPr>
      </w:pPr>
      <w:r>
        <w:rPr>
          <w:rFonts w:ascii="David" w:eastAsia="Calibri" w:hAnsi="David" w:hint="cs"/>
          <w:noProof w:val="0"/>
          <w:rtl/>
        </w:rPr>
        <w:t xml:space="preserve">למעלה מן הצורך, </w:t>
      </w:r>
      <w:r w:rsidR="00791E61" w:rsidRPr="00791E61">
        <w:rPr>
          <w:rFonts w:ascii="David" w:eastAsia="Calibri" w:hAnsi="David" w:hint="cs"/>
          <w:noProof w:val="0"/>
          <w:rtl/>
        </w:rPr>
        <w:t>לגופם של דברים</w:t>
      </w:r>
      <w:r w:rsidR="00791E61" w:rsidRPr="00791E61">
        <w:rPr>
          <w:rFonts w:ascii="David" w:eastAsia="Calibri" w:hAnsi="David" w:hint="cs"/>
          <w:b/>
          <w:bCs/>
          <w:noProof w:val="0"/>
          <w:rtl/>
        </w:rPr>
        <w:t xml:space="preserve">, </w:t>
      </w:r>
      <w:r w:rsidR="00791E61" w:rsidRPr="00A144A1">
        <w:rPr>
          <w:rFonts w:ascii="David" w:eastAsia="Calibri" w:hAnsi="David"/>
          <w:noProof w:val="0"/>
          <w:rtl/>
        </w:rPr>
        <w:t>בכל הנוגע לשיטת החישוב של שיעור חלקה בקצבת התובע – בתשובתו לשאלת הבהר</w:t>
      </w:r>
      <w:r w:rsidR="00791E61" w:rsidRPr="00791E61">
        <w:rPr>
          <w:rFonts w:ascii="David" w:eastAsia="Calibri" w:hAnsi="David"/>
          <w:noProof w:val="0"/>
          <w:rtl/>
        </w:rPr>
        <w:t>ה מס' 6 הבהיר המומחה, כי "</w:t>
      </w:r>
      <w:r w:rsidR="00791E61" w:rsidRPr="00791E61">
        <w:rPr>
          <w:rFonts w:ascii="David" w:eastAsia="Calibri" w:hAnsi="David"/>
          <w:b/>
          <w:bCs/>
          <w:noProof w:val="0"/>
          <w:rtl/>
        </w:rPr>
        <w:t>חוק חלוקת חיסכון פנסיוני בין בני זוג שנפרדו קובע בהגדרות "תקופה משותפת", "שיעור להעברה", "השיעור המשותף" חישוב נתונים בדרך מתמטית של חלק יחסי הינו ליניארי ללא התחשבות לתקופה המשותפת שכביכול תרמו יותר לגמלה</w:t>
      </w:r>
      <w:r w:rsidR="00791E61" w:rsidRPr="00791E61">
        <w:rPr>
          <w:rFonts w:ascii="David" w:eastAsia="Calibri" w:hAnsi="David"/>
          <w:noProof w:val="0"/>
          <w:rtl/>
        </w:rPr>
        <w:t xml:space="preserve">". </w:t>
      </w:r>
    </w:p>
    <w:p w:rsidR="00791E61" w:rsidRPr="001956B0" w:rsidRDefault="00791E61" w:rsidP="00791E61">
      <w:pPr>
        <w:spacing w:after="160" w:line="256" w:lineRule="auto"/>
        <w:ind w:left="720"/>
        <w:contextualSpacing/>
        <w:rPr>
          <w:rFonts w:ascii="David" w:eastAsia="Calibri" w:hAnsi="David"/>
          <w:noProof w:val="0"/>
        </w:rPr>
      </w:pPr>
    </w:p>
    <w:p w:rsidR="00791E61" w:rsidRPr="001956B0" w:rsidRDefault="00791E61"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t xml:space="preserve">על פי הבהרת המומחה הוא חישב את נוסחת האיזון על פי הפרמטרים הקבועים בחוק לחלוקת חיסכון פנסיוני. נראה כי זוהי אכן הפרקטיקה הנוהגת. השוו: עמ"ש (מחוזי חיפה) 16506-04-17 </w:t>
      </w:r>
      <w:r w:rsidRPr="001956B0">
        <w:rPr>
          <w:rFonts w:ascii="David" w:eastAsia="Calibri" w:hAnsi="David"/>
          <w:b/>
          <w:bCs/>
          <w:noProof w:val="0"/>
          <w:rtl/>
        </w:rPr>
        <w:t>פלוני נ' פלונית</w:t>
      </w:r>
      <w:r w:rsidRPr="001956B0">
        <w:rPr>
          <w:rFonts w:ascii="David" w:eastAsia="Calibri" w:hAnsi="David"/>
          <w:noProof w:val="0"/>
          <w:rtl/>
        </w:rPr>
        <w:t xml:space="preserve"> (10.11.2017)‏‏. </w:t>
      </w:r>
    </w:p>
    <w:p w:rsidR="00791E61" w:rsidRPr="001956B0" w:rsidRDefault="00791E61" w:rsidP="00791E61">
      <w:pPr>
        <w:spacing w:line="360" w:lineRule="auto"/>
        <w:ind w:left="651"/>
        <w:contextualSpacing/>
        <w:jc w:val="both"/>
        <w:rPr>
          <w:rFonts w:ascii="David" w:eastAsia="Calibri" w:hAnsi="David"/>
          <w:noProof w:val="0"/>
        </w:rPr>
      </w:pPr>
    </w:p>
    <w:p w:rsidR="00791E61" w:rsidRDefault="00791E61" w:rsidP="004F2AF5">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noProof w:val="0"/>
          <w:rtl/>
        </w:rPr>
        <w:t xml:space="preserve">לא עלה בידי הנתבעת להוכיח טענתה בדבר חישוב שונה מזה. יוער כי טענתה של הנתבעת לעניין זה נסמכה במקור על חוות דעת פרטית מטעמה (ראו תגובתה מיום 6.4.22), ברם בהחלטתי מיום 10.7.22 הוריתי על </w:t>
      </w:r>
      <w:r w:rsidRPr="001E19CA">
        <w:rPr>
          <w:rFonts w:ascii="David" w:eastAsia="Calibri" w:hAnsi="David"/>
          <w:b/>
          <w:bCs/>
          <w:noProof w:val="0"/>
          <w:rtl/>
        </w:rPr>
        <w:t>הוצאת</w:t>
      </w:r>
      <w:r w:rsidRPr="001956B0">
        <w:rPr>
          <w:rFonts w:ascii="David" w:eastAsia="Calibri" w:hAnsi="David"/>
          <w:noProof w:val="0"/>
          <w:rtl/>
        </w:rPr>
        <w:t xml:space="preserve"> חוות הדעת הפרטית מהתיק</w:t>
      </w:r>
      <w:r w:rsidR="00713CEA">
        <w:rPr>
          <w:rFonts w:ascii="David" w:eastAsia="Calibri" w:hAnsi="David" w:hint="cs"/>
          <w:noProof w:val="0"/>
          <w:rtl/>
        </w:rPr>
        <w:t>, ובמסגרת עמדתה כמו גם סיכומיה לא הפנתה לביסוס אחר לשיטת החישוב המוצעת על ידה</w:t>
      </w:r>
      <w:r w:rsidRPr="001956B0">
        <w:rPr>
          <w:rFonts w:ascii="David" w:eastAsia="Calibri" w:hAnsi="David"/>
          <w:noProof w:val="0"/>
          <w:rtl/>
        </w:rPr>
        <w:t xml:space="preserve">. </w:t>
      </w:r>
    </w:p>
    <w:p w:rsidR="001E19CA" w:rsidRDefault="001E19CA" w:rsidP="001E19CA">
      <w:pPr>
        <w:pStyle w:val="ad"/>
        <w:rPr>
          <w:rFonts w:ascii="David" w:eastAsia="Calibri" w:hAnsi="David"/>
          <w:noProof w:val="0"/>
          <w:rtl/>
        </w:rPr>
      </w:pPr>
    </w:p>
    <w:p w:rsidR="001E19CA" w:rsidRDefault="001E19CA" w:rsidP="004F2AF5">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t>לפיכך, לא מצאתי לסטות מעמדת המומחה בסוגיה זו.</w:t>
      </w:r>
    </w:p>
    <w:p w:rsidR="00791E61" w:rsidRPr="00713CEA" w:rsidRDefault="00791E61" w:rsidP="00791E61">
      <w:pPr>
        <w:pStyle w:val="ad"/>
        <w:rPr>
          <w:rFonts w:ascii="David" w:eastAsia="Calibri" w:hAnsi="David"/>
          <w:noProof w:val="0"/>
          <w:rtl/>
        </w:rPr>
      </w:pPr>
    </w:p>
    <w:p w:rsidR="00791E61" w:rsidRDefault="001956B0" w:rsidP="004F2AF5">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b/>
          <w:bCs/>
          <w:noProof w:val="0"/>
          <w:rtl/>
        </w:rPr>
        <w:t>בכל הנוגע לשיעור הפנסיה המוגדל הנטען של התובע (76%)</w:t>
      </w:r>
      <w:r w:rsidR="00791E61">
        <w:rPr>
          <w:rFonts w:ascii="David" w:eastAsia="Calibri" w:hAnsi="David" w:hint="cs"/>
          <w:noProof w:val="0"/>
          <w:rtl/>
        </w:rPr>
        <w:t xml:space="preserve">, דומה </w:t>
      </w:r>
      <w:r w:rsidR="005956E6">
        <w:rPr>
          <w:rFonts w:ascii="David" w:eastAsia="Calibri" w:hAnsi="David" w:hint="cs"/>
          <w:noProof w:val="0"/>
          <w:rtl/>
        </w:rPr>
        <w:t>אף בעניין זה</w:t>
      </w:r>
      <w:r w:rsidR="00791E61">
        <w:rPr>
          <w:rFonts w:ascii="David" w:eastAsia="Calibri" w:hAnsi="David" w:hint="cs"/>
          <w:noProof w:val="0"/>
          <w:rtl/>
        </w:rPr>
        <w:t xml:space="preserve"> הנתבעת </w:t>
      </w:r>
      <w:r w:rsidR="00791E61" w:rsidRPr="00713CEA">
        <w:rPr>
          <w:rFonts w:ascii="David" w:eastAsia="Calibri" w:hAnsi="David" w:hint="cs"/>
          <w:b/>
          <w:bCs/>
          <w:noProof w:val="0"/>
          <w:rtl/>
        </w:rPr>
        <w:t>זנחה</w:t>
      </w:r>
      <w:r w:rsidR="00791E61">
        <w:rPr>
          <w:rFonts w:ascii="David" w:eastAsia="Calibri" w:hAnsi="David" w:hint="cs"/>
          <w:noProof w:val="0"/>
          <w:rtl/>
        </w:rPr>
        <w:t xml:space="preserve"> טענתה; </w:t>
      </w:r>
    </w:p>
    <w:p w:rsidR="00791E61" w:rsidRPr="005956E6" w:rsidRDefault="00791E61" w:rsidP="00791E61">
      <w:pPr>
        <w:pStyle w:val="ad"/>
        <w:rPr>
          <w:rFonts w:ascii="David" w:eastAsia="Calibri" w:hAnsi="David"/>
          <w:noProof w:val="0"/>
          <w:rtl/>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lastRenderedPageBreak/>
        <w:t xml:space="preserve">הנתבעת </w:t>
      </w:r>
      <w:r w:rsidR="006A3458">
        <w:rPr>
          <w:rFonts w:ascii="David" w:eastAsia="Calibri" w:hAnsi="David" w:hint="cs"/>
          <w:noProof w:val="0"/>
          <w:rtl/>
        </w:rPr>
        <w:t>ה</w:t>
      </w:r>
      <w:r w:rsidRPr="001956B0">
        <w:rPr>
          <w:rFonts w:ascii="David" w:eastAsia="Calibri" w:hAnsi="David"/>
          <w:noProof w:val="0"/>
          <w:rtl/>
        </w:rPr>
        <w:t>עלתה טענתה לעניין זה מכבר במסגרת בקשתה מיום 11.7.22 (סעיף 6)</w:t>
      </w:r>
      <w:r w:rsidR="00791E61">
        <w:rPr>
          <w:rFonts w:ascii="David" w:eastAsia="Calibri" w:hAnsi="David" w:hint="cs"/>
          <w:noProof w:val="0"/>
          <w:rtl/>
        </w:rPr>
        <w:t xml:space="preserve">, במסגרתה </w:t>
      </w:r>
      <w:r w:rsidRPr="001956B0">
        <w:rPr>
          <w:rFonts w:ascii="David" w:eastAsia="Calibri" w:hAnsi="David"/>
          <w:noProof w:val="0"/>
          <w:rtl/>
        </w:rPr>
        <w:t xml:space="preserve">עתרה להורות על זימונו לחקירה של נציג מחלקת שכר במקום עבודתו של התובע במשרד רוה"מ (סעיף 8 לבקשה מיום 11.7.22). בהחלטתי מיום 14.7.22 הוריתי לנתבעת לפנות בשנית למקום עבודתו של התובע מכוח צווי הגילוי שניתנו בשאלה ספציפית לגבי ההגדלה הנטענת. </w:t>
      </w:r>
    </w:p>
    <w:p w:rsidR="001956B0" w:rsidRPr="001956B0" w:rsidRDefault="001956B0" w:rsidP="001956B0">
      <w:pPr>
        <w:spacing w:after="160" w:line="256" w:lineRule="auto"/>
        <w:ind w:left="720"/>
        <w:contextualSpacing/>
        <w:rPr>
          <w:rFonts w:ascii="David" w:eastAsia="Calibri" w:hAnsi="David"/>
          <w:noProof w:val="0"/>
        </w:rPr>
      </w:pPr>
    </w:p>
    <w:p w:rsidR="001956B0" w:rsidRDefault="001956B0" w:rsidP="004F2AF5">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noProof w:val="0"/>
          <w:rtl/>
        </w:rPr>
        <w:t xml:space="preserve">דא עקא, הנתבעת לא פעלה בהתאם להחלטה זו, ובבקשתה לזמן את המומחה לחקירה זנחה אף את בקשתה המקורית לזמן לחקירה נציג ממקום העבודה של התובע (ראו בקשתה מיום 15.9.22). בדיון שהתקיים לפני נשאל בא כוחה של הנתבעת מדוע לא קוימה החלטתי בנידון, והלה השיב כי "...אנו מקבלים את הערת בית המשפט וזה נבע מעומס במשרדי וזה לא הדבר היחיד במשרד, </w:t>
      </w:r>
      <w:r w:rsidRPr="00A144A1">
        <w:rPr>
          <w:rFonts w:ascii="David" w:eastAsia="Calibri" w:hAnsi="David"/>
          <w:b/>
          <w:bCs/>
          <w:noProof w:val="0"/>
          <w:rtl/>
        </w:rPr>
        <w:t>ולכן אנחנו יכולים לוותר על הטענה הזאת</w:t>
      </w:r>
      <w:r w:rsidRPr="001956B0">
        <w:rPr>
          <w:rFonts w:ascii="David" w:eastAsia="Calibri" w:hAnsi="David"/>
          <w:noProof w:val="0"/>
          <w:rtl/>
        </w:rPr>
        <w:t xml:space="preserve">". (שורות 16-18 עמ' 22 לפרוט'). </w:t>
      </w:r>
    </w:p>
    <w:p w:rsidR="00A144A1" w:rsidRDefault="00A144A1" w:rsidP="00A144A1">
      <w:pPr>
        <w:pStyle w:val="ad"/>
        <w:rPr>
          <w:rFonts w:ascii="David" w:eastAsia="Calibri" w:hAnsi="David"/>
          <w:noProof w:val="0"/>
          <w:rtl/>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t xml:space="preserve">בנסיבות אלה לא </w:t>
      </w:r>
      <w:r w:rsidR="00791E61">
        <w:rPr>
          <w:rFonts w:ascii="David" w:eastAsia="Calibri" w:hAnsi="David" w:hint="cs"/>
          <w:noProof w:val="0"/>
          <w:rtl/>
        </w:rPr>
        <w:t>מצאתי להי</w:t>
      </w:r>
      <w:r w:rsidRPr="001956B0">
        <w:rPr>
          <w:rFonts w:ascii="David" w:eastAsia="Calibri" w:hAnsi="David"/>
          <w:noProof w:val="0"/>
          <w:rtl/>
        </w:rPr>
        <w:t xml:space="preserve">דרש לטענה בדבר שיעור פנסיה מוגדל של התובע במסגרת הכרעתי דנן </w:t>
      </w:r>
      <w:r w:rsidR="006A3458">
        <w:rPr>
          <w:rFonts w:ascii="David" w:eastAsia="Calibri" w:hAnsi="David" w:hint="cs"/>
          <w:noProof w:val="0"/>
          <w:rtl/>
        </w:rPr>
        <w:t xml:space="preserve">משלא הומצאה אסמכתה לתמוך בה, </w:t>
      </w:r>
      <w:r w:rsidRPr="001956B0">
        <w:rPr>
          <w:rFonts w:ascii="David" w:eastAsia="Calibri" w:hAnsi="David"/>
          <w:noProof w:val="0"/>
          <w:rtl/>
        </w:rPr>
        <w:t xml:space="preserve">ולאחר שהנתבעת מושתקת לטעון לה לאחר שוויתרה עליה, </w:t>
      </w:r>
      <w:r w:rsidR="006A3458">
        <w:rPr>
          <w:rFonts w:ascii="David" w:eastAsia="Calibri" w:hAnsi="David" w:hint="cs"/>
          <w:noProof w:val="0"/>
          <w:rtl/>
        </w:rPr>
        <w:t xml:space="preserve">ולפיכך </w:t>
      </w:r>
      <w:r w:rsidRPr="001956B0">
        <w:rPr>
          <w:rFonts w:ascii="David" w:eastAsia="Calibri" w:hAnsi="David"/>
          <w:noProof w:val="0"/>
          <w:rtl/>
        </w:rPr>
        <w:t>הטענה נדחית.</w:t>
      </w:r>
    </w:p>
    <w:p w:rsidR="001956B0" w:rsidRPr="001956B0" w:rsidRDefault="001956B0" w:rsidP="001956B0">
      <w:pPr>
        <w:spacing w:after="160" w:line="256" w:lineRule="auto"/>
        <w:ind w:left="720"/>
        <w:contextualSpacing/>
        <w:rPr>
          <w:rFonts w:ascii="David" w:eastAsia="Calibri" w:hAnsi="David"/>
          <w:b/>
          <w:bCs/>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b/>
          <w:bCs/>
          <w:noProof w:val="0"/>
          <w:rtl/>
        </w:rPr>
        <w:t>בכל הנוגע לעתירתה החלופית של הנתבעת להוסיף לשנות הותק את השנים שנצברו לתובע קודם לנישואין</w:t>
      </w:r>
      <w:r w:rsidRPr="001956B0">
        <w:rPr>
          <w:rFonts w:ascii="David" w:eastAsia="Calibri" w:hAnsi="David"/>
          <w:noProof w:val="0"/>
          <w:rtl/>
        </w:rPr>
        <w:t xml:space="preserve"> - הבהיר המומחה בתשובתו לשאלת הבהרה מס' 6, כי תקופת הותק של התובע קודם לנישואיו לנתבעת </w:t>
      </w:r>
      <w:r w:rsidRPr="00791E61">
        <w:rPr>
          <w:rFonts w:ascii="David" w:eastAsia="Calibri" w:hAnsi="David"/>
          <w:b/>
          <w:bCs/>
          <w:noProof w:val="0"/>
          <w:rtl/>
        </w:rPr>
        <w:t>נכללה</w:t>
      </w:r>
      <w:r w:rsidRPr="001956B0">
        <w:rPr>
          <w:rFonts w:ascii="David" w:eastAsia="Calibri" w:hAnsi="David"/>
          <w:noProof w:val="0"/>
          <w:rtl/>
        </w:rPr>
        <w:t xml:space="preserve"> במסגרת חישוביו – 46.33%+8.17% = 54.5%. (ראו גם עדותו בשורות 31-33 עמ' 25 לפרוט'). </w:t>
      </w:r>
    </w:p>
    <w:p w:rsidR="001956B0" w:rsidRPr="001956B0" w:rsidRDefault="001956B0" w:rsidP="001956B0">
      <w:pPr>
        <w:spacing w:after="160" w:line="256" w:lineRule="auto"/>
        <w:ind w:left="720"/>
        <w:contextualSpacing/>
        <w:rPr>
          <w:rFonts w:ascii="David" w:eastAsia="Calibri" w:hAnsi="David"/>
          <w:noProof w:val="0"/>
        </w:rPr>
      </w:pPr>
    </w:p>
    <w:p w:rsidR="001956B0" w:rsidRPr="0076725E" w:rsidRDefault="001956B0" w:rsidP="004F2AF5">
      <w:pPr>
        <w:numPr>
          <w:ilvl w:val="0"/>
          <w:numId w:val="1"/>
        </w:numPr>
        <w:spacing w:after="160" w:line="360" w:lineRule="auto"/>
        <w:ind w:left="651"/>
        <w:contextualSpacing/>
        <w:jc w:val="both"/>
        <w:rPr>
          <w:rFonts w:ascii="David" w:eastAsia="Calibri" w:hAnsi="David"/>
          <w:b/>
          <w:bCs/>
          <w:noProof w:val="0"/>
          <w:rtl/>
        </w:rPr>
      </w:pPr>
      <w:r w:rsidRPr="0076725E">
        <w:rPr>
          <w:rFonts w:ascii="David" w:eastAsia="Calibri" w:hAnsi="David"/>
          <w:b/>
          <w:bCs/>
          <w:noProof w:val="0"/>
          <w:rtl/>
        </w:rPr>
        <w:t>לאור האמור הרי שאף טענות הנתבעת בסוגיה דנן נדחות.</w:t>
      </w:r>
    </w:p>
    <w:p w:rsidR="001956B0" w:rsidRPr="001956B0" w:rsidRDefault="001956B0" w:rsidP="001956B0">
      <w:pPr>
        <w:spacing w:line="360" w:lineRule="auto"/>
        <w:ind w:left="651"/>
        <w:contextualSpacing/>
        <w:jc w:val="both"/>
        <w:rPr>
          <w:rFonts w:ascii="David" w:eastAsia="Calibri" w:hAnsi="David"/>
          <w:b/>
          <w:bCs/>
          <w:noProof w:val="0"/>
        </w:rPr>
      </w:pPr>
    </w:p>
    <w:p w:rsidR="001956B0" w:rsidRPr="0076725E" w:rsidRDefault="001956B0" w:rsidP="001956B0">
      <w:pPr>
        <w:spacing w:line="360" w:lineRule="auto"/>
        <w:jc w:val="both"/>
        <w:rPr>
          <w:rFonts w:ascii="David" w:eastAsia="Calibri" w:hAnsi="David"/>
          <w:b/>
          <w:bCs/>
          <w:noProof w:val="0"/>
          <w:sz w:val="26"/>
          <w:szCs w:val="26"/>
          <w:rtl/>
        </w:rPr>
      </w:pPr>
      <w:r w:rsidRPr="0076725E">
        <w:rPr>
          <w:rFonts w:ascii="David" w:eastAsia="Calibri" w:hAnsi="David"/>
          <w:b/>
          <w:bCs/>
          <w:noProof w:val="0"/>
          <w:sz w:val="26"/>
          <w:szCs w:val="26"/>
          <w:rtl/>
        </w:rPr>
        <w:t>שיערוך הכספים בקופות הגמל ממועד הפירוד ועד מועד החישוב</w:t>
      </w:r>
    </w:p>
    <w:p w:rsidR="001956B0" w:rsidRPr="001956B0" w:rsidRDefault="001956B0" w:rsidP="001956B0">
      <w:pPr>
        <w:spacing w:after="160" w:line="256" w:lineRule="auto"/>
        <w:ind w:left="720"/>
        <w:contextualSpacing/>
        <w:rPr>
          <w:rFonts w:ascii="David" w:eastAsia="Calibri" w:hAnsi="David"/>
          <w:b/>
          <w:bCs/>
          <w:noProof w:val="0"/>
          <w:rtl/>
        </w:rPr>
      </w:pPr>
    </w:p>
    <w:p w:rsidR="001956B0" w:rsidRPr="001956B0" w:rsidRDefault="001956B0" w:rsidP="004F2AF5">
      <w:pPr>
        <w:numPr>
          <w:ilvl w:val="0"/>
          <w:numId w:val="1"/>
        </w:numPr>
        <w:spacing w:after="160" w:line="360" w:lineRule="auto"/>
        <w:ind w:left="651"/>
        <w:contextualSpacing/>
        <w:jc w:val="both"/>
        <w:rPr>
          <w:rFonts w:ascii="David" w:eastAsia="Calibri" w:hAnsi="David"/>
          <w:b/>
          <w:bCs/>
          <w:noProof w:val="0"/>
          <w:rtl/>
        </w:rPr>
      </w:pPr>
      <w:r w:rsidRPr="00CD794F">
        <w:rPr>
          <w:rFonts w:ascii="David" w:eastAsia="Calibri" w:hAnsi="David"/>
          <w:b/>
          <w:bCs/>
          <w:noProof w:val="0"/>
          <w:rtl/>
        </w:rPr>
        <w:t>הנתבעת</w:t>
      </w:r>
      <w:r w:rsidRPr="001956B0">
        <w:rPr>
          <w:rFonts w:ascii="David" w:eastAsia="Calibri" w:hAnsi="David"/>
          <w:noProof w:val="0"/>
          <w:rtl/>
        </w:rPr>
        <w:t xml:space="preserve"> חלקה על חישוב ההיוון שערך המומחה בחוות דעתו  - חישוב לאחור – למועד הפירוד. לטענתה, חישוב זה עומד בניגוד לחוק חלוקת חיסכון פנסיוני הקובע מפורשות כי בחלוקת הקופות הסכומים המועברים לבן הזוג לשעבר יישאו את </w:t>
      </w:r>
      <w:r w:rsidRPr="0076725E">
        <w:rPr>
          <w:rFonts w:ascii="David" w:eastAsia="Calibri" w:hAnsi="David"/>
          <w:b/>
          <w:bCs/>
          <w:noProof w:val="0"/>
          <w:rtl/>
        </w:rPr>
        <w:t>תשואות הקופה</w:t>
      </w:r>
      <w:r w:rsidRPr="001956B0">
        <w:rPr>
          <w:rFonts w:ascii="David" w:eastAsia="Calibri" w:hAnsi="David"/>
          <w:noProof w:val="0"/>
          <w:rtl/>
        </w:rPr>
        <w:t xml:space="preserve"> כפי שהיו בפועל ממועד הפירוד ועד מועד ביצוע החלוקה. במקרה דנן המומחה לא רק שלא הוסיף תשואות לסכומים בקופות (של שני הצדדים) ממועד הפירוד ואילך, אלא העצים את הטעות על ידי ניכוי ריבית בגין היוון הסכומים לאחור מגיל הפרישה למועד הפירוד. לדבריה המומחה הסכים "בחצי פה" בחקירתו כי יוכל להתייחס לסיכום הסופי ממועד הקרע ועד למועד התשלום בפועל אם יקבל את הנתונים (שורה 24 עמ' 26 לפרוט') ולפיכך עתרה להורות למומחה לאסוף הנתונים </w:t>
      </w:r>
      <w:r w:rsidRPr="001956B0">
        <w:rPr>
          <w:rFonts w:ascii="David" w:eastAsia="Calibri" w:hAnsi="David"/>
          <w:b/>
          <w:bCs/>
          <w:noProof w:val="0"/>
          <w:rtl/>
        </w:rPr>
        <w:t>ולהוסיף לחישובו את התשואות שצברו בפועל ממועד הפירוד ועד מועד חוות דעתו</w:t>
      </w:r>
      <w:r w:rsidRPr="001956B0">
        <w:rPr>
          <w:rFonts w:ascii="David" w:eastAsia="Calibri" w:hAnsi="David"/>
          <w:noProof w:val="0"/>
          <w:rtl/>
        </w:rPr>
        <w:t xml:space="preserve"> כמתחייב על פי החוק לחלוקת חיסכון פנסיוני.</w:t>
      </w:r>
    </w:p>
    <w:p w:rsidR="001956B0" w:rsidRPr="001956B0" w:rsidRDefault="001956B0" w:rsidP="001956B0">
      <w:pPr>
        <w:spacing w:line="360" w:lineRule="auto"/>
        <w:ind w:left="651"/>
        <w:contextualSpacing/>
        <w:jc w:val="both"/>
        <w:rPr>
          <w:rFonts w:ascii="David" w:eastAsia="Calibri" w:hAnsi="David"/>
          <w:b/>
          <w:bCs/>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b/>
          <w:bCs/>
          <w:noProof w:val="0"/>
          <w:rtl/>
        </w:rPr>
        <w:t xml:space="preserve">התובע טען </w:t>
      </w:r>
      <w:r w:rsidRPr="001956B0">
        <w:rPr>
          <w:rFonts w:ascii="David" w:eastAsia="Calibri" w:hAnsi="David"/>
          <w:noProof w:val="0"/>
          <w:rtl/>
        </w:rPr>
        <w:t xml:space="preserve">לעניין זה כי שערוך הזכויות נעשה כדין ועל בסיס הנתונים שהנתבעת עצמה המציאה. הנתבעת מושתקת לבוא בטענות בנדון לאחר שהיא המציאה נתונים אך לגבי מצב קופות הגמל במועד הפירוד (15.6.16) ולא המציאה כל נתון לגבי התשואות השנתיות של קופות הגמל שלה לאורך השנים. ניתן לראות זאת במסמכים עליהם התבסס המומחה בחוו"ד שהוגשו לתיק ביום 23.3.22. הנתבעת לא הצביעה על כך שהאופן בו נהג המומחה קיפח אותה ולא הציגה נתונים של תשואות קופות הגמל לעומת נתוני שערוך לפי הצמדה </w:t>
      </w:r>
      <w:r w:rsidRPr="001956B0">
        <w:rPr>
          <w:rFonts w:ascii="David" w:eastAsia="Calibri" w:hAnsi="David"/>
          <w:noProof w:val="0"/>
          <w:rtl/>
        </w:rPr>
        <w:lastRenderedPageBreak/>
        <w:t xml:space="preserve">וריבית כדין. </w:t>
      </w:r>
      <w:r w:rsidR="00CD794F">
        <w:rPr>
          <w:rFonts w:ascii="David" w:eastAsia="Calibri" w:hAnsi="David"/>
          <w:noProof w:val="0"/>
          <w:rtl/>
        </w:rPr>
        <w:t>באופן אבסורדי לו טענתה לפיה תשו</w:t>
      </w:r>
      <w:r w:rsidR="00CD794F">
        <w:rPr>
          <w:rFonts w:ascii="David" w:eastAsia="Calibri" w:hAnsi="David" w:hint="cs"/>
          <w:noProof w:val="0"/>
          <w:rtl/>
        </w:rPr>
        <w:t>א</w:t>
      </w:r>
      <w:r w:rsidRPr="001956B0">
        <w:rPr>
          <w:rFonts w:ascii="David" w:eastAsia="Calibri" w:hAnsi="David"/>
          <w:noProof w:val="0"/>
          <w:rtl/>
        </w:rPr>
        <w:t>ות קופות הגמל בפועל גבוהות יותר משערוך הזכויות, הדבר דווקא היה מגדיל את גובה נכסיה שלה לצורך החישוב- דהיינו- מצבה היה רע יותר כפי שהבהיר המומחה.</w:t>
      </w:r>
    </w:p>
    <w:p w:rsidR="001956B0" w:rsidRPr="001956B0" w:rsidRDefault="001956B0" w:rsidP="001956B0">
      <w:pPr>
        <w:spacing w:after="160" w:line="256" w:lineRule="auto"/>
        <w:ind w:left="720"/>
        <w:contextualSpacing/>
        <w:rPr>
          <w:rFonts w:ascii="David" w:eastAsia="Calibri" w:hAnsi="David"/>
          <w:noProof w:val="0"/>
        </w:rPr>
      </w:pPr>
    </w:p>
    <w:p w:rsidR="001956B0" w:rsidRDefault="00CD794F" w:rsidP="004F2AF5">
      <w:pPr>
        <w:numPr>
          <w:ilvl w:val="0"/>
          <w:numId w:val="1"/>
        </w:numPr>
        <w:spacing w:after="160" w:line="360" w:lineRule="auto"/>
        <w:ind w:left="651"/>
        <w:contextualSpacing/>
        <w:jc w:val="both"/>
        <w:rPr>
          <w:rFonts w:ascii="David" w:eastAsia="Calibri" w:hAnsi="David"/>
          <w:noProof w:val="0"/>
        </w:rPr>
      </w:pPr>
      <w:r w:rsidRPr="005F0F4F">
        <w:rPr>
          <w:rFonts w:ascii="David" w:eastAsia="Calibri" w:hAnsi="David" w:hint="cs"/>
          <w:b/>
          <w:bCs/>
          <w:noProof w:val="0"/>
          <w:rtl/>
        </w:rPr>
        <w:t>עמדת</w:t>
      </w:r>
      <w:r w:rsidR="005F0F4F" w:rsidRPr="005F0F4F">
        <w:rPr>
          <w:rFonts w:ascii="David" w:eastAsia="Calibri" w:hAnsi="David" w:hint="cs"/>
          <w:b/>
          <w:bCs/>
          <w:noProof w:val="0"/>
          <w:rtl/>
        </w:rPr>
        <w:t xml:space="preserve"> </w:t>
      </w:r>
      <w:r w:rsidRPr="005F0F4F">
        <w:rPr>
          <w:rFonts w:ascii="David" w:eastAsia="Calibri" w:hAnsi="David" w:hint="cs"/>
          <w:b/>
          <w:bCs/>
          <w:noProof w:val="0"/>
          <w:rtl/>
        </w:rPr>
        <w:t>המומחה</w:t>
      </w:r>
      <w:r>
        <w:rPr>
          <w:rFonts w:ascii="David" w:eastAsia="Calibri" w:hAnsi="David" w:hint="cs"/>
          <w:noProof w:val="0"/>
          <w:rtl/>
        </w:rPr>
        <w:t xml:space="preserve"> הובאה </w:t>
      </w:r>
      <w:r w:rsidR="001956B0" w:rsidRPr="001956B0">
        <w:rPr>
          <w:rFonts w:ascii="David" w:eastAsia="Calibri" w:hAnsi="David"/>
          <w:noProof w:val="0"/>
          <w:rtl/>
        </w:rPr>
        <w:t>בתשובתו לשאלת הבהרה מס' 7</w:t>
      </w:r>
      <w:r>
        <w:rPr>
          <w:rFonts w:ascii="David" w:eastAsia="Calibri" w:hAnsi="David" w:hint="cs"/>
          <w:noProof w:val="0"/>
          <w:rtl/>
        </w:rPr>
        <w:t xml:space="preserve">, לפיה </w:t>
      </w:r>
      <w:r w:rsidR="001956B0" w:rsidRPr="001956B0">
        <w:rPr>
          <w:rFonts w:ascii="David" w:eastAsia="Calibri" w:hAnsi="David"/>
          <w:noProof w:val="0"/>
          <w:rtl/>
        </w:rPr>
        <w:t>"</w:t>
      </w:r>
      <w:r w:rsidR="001956B0" w:rsidRPr="001956B0">
        <w:rPr>
          <w:rFonts w:ascii="David" w:eastAsia="Calibri" w:hAnsi="David"/>
          <w:b/>
          <w:bCs/>
          <w:noProof w:val="0"/>
          <w:rtl/>
        </w:rPr>
        <w:t xml:space="preserve">חישוב נכסים שנצברו בקופת הגמל נעשתה ע"פ חלופה של היוון הסכומים ליום הקרע וזאת כדי ליצור מכנה משותף לאיזון נכסי הצדדים. מועד </w:t>
      </w:r>
      <w:r w:rsidR="005F0F4F" w:rsidRPr="001956B0">
        <w:rPr>
          <w:rFonts w:ascii="David" w:eastAsia="Calibri" w:hAnsi="David" w:hint="cs"/>
          <w:b/>
          <w:bCs/>
          <w:noProof w:val="0"/>
          <w:rtl/>
        </w:rPr>
        <w:t>פירעו</w:t>
      </w:r>
      <w:r w:rsidR="005F0F4F" w:rsidRPr="001956B0">
        <w:rPr>
          <w:rFonts w:ascii="David" w:eastAsia="Calibri" w:hAnsi="David" w:hint="eastAsia"/>
          <w:b/>
          <w:bCs/>
          <w:noProof w:val="0"/>
          <w:rtl/>
        </w:rPr>
        <w:t>ן</w:t>
      </w:r>
      <w:r w:rsidR="001956B0" w:rsidRPr="001956B0">
        <w:rPr>
          <w:rFonts w:ascii="David" w:eastAsia="Calibri" w:hAnsi="David"/>
          <w:b/>
          <w:bCs/>
          <w:noProof w:val="0"/>
          <w:rtl/>
        </w:rPr>
        <w:t xml:space="preserve"> מאוחר למועד הקרע מחייב היוון הסכומים למועד הקרע. חוק חלוקת חיסכון פנסיוני קובע בסעיף 6(ב) תוספת תשואות </w:t>
      </w:r>
      <w:r w:rsidR="001956B0" w:rsidRPr="001956B0">
        <w:rPr>
          <w:rFonts w:ascii="David" w:eastAsia="Calibri" w:hAnsi="David"/>
          <w:b/>
          <w:bCs/>
          <w:noProof w:val="0"/>
          <w:u w:val="single"/>
          <w:rtl/>
        </w:rPr>
        <w:t>בהעברה בין קופות</w:t>
      </w:r>
      <w:r w:rsidR="001956B0" w:rsidRPr="001956B0">
        <w:rPr>
          <w:rFonts w:ascii="David" w:eastAsia="Calibri" w:hAnsi="David"/>
          <w:b/>
          <w:bCs/>
          <w:noProof w:val="0"/>
          <w:rtl/>
        </w:rPr>
        <w:t xml:space="preserve"> ולא בחישוב איזון משאבים למועד הקרע. </w:t>
      </w:r>
      <w:r w:rsidR="001956B0" w:rsidRPr="00CD794F">
        <w:rPr>
          <w:rFonts w:ascii="David" w:eastAsia="Calibri" w:hAnsi="David"/>
          <w:b/>
          <w:bCs/>
          <w:noProof w:val="0"/>
          <w:u w:val="single"/>
          <w:rtl/>
        </w:rPr>
        <w:t>מדובר בשני דרכי חישוב שונים לחלוטין</w:t>
      </w:r>
      <w:r w:rsidR="001956B0" w:rsidRPr="001956B0">
        <w:rPr>
          <w:rFonts w:ascii="David" w:eastAsia="Calibri" w:hAnsi="David"/>
          <w:b/>
          <w:bCs/>
          <w:noProof w:val="0"/>
          <w:rtl/>
        </w:rPr>
        <w:t>. אם היה נערך איזון למועד מאוחר ממועד הקרע, אזי היה מקום להוסיף את התשואות שנצברו על הקופות. לגופו של תיק – לבעל יתרת קופות גמל מהוונת בסך  ₪148,912, ולאישה סך 270,192 ₪. תשואות קופות הגמל מיום הקרע ועד חוות הדעת ככל שהם מעבר להצמדה וריבית רק יגדילו את נכסי האישה ואת החלק שמועבר לבעל</w:t>
      </w:r>
      <w:r w:rsidR="0076725E">
        <w:rPr>
          <w:rFonts w:ascii="David" w:eastAsia="Calibri" w:hAnsi="David"/>
          <w:noProof w:val="0"/>
          <w:rtl/>
        </w:rPr>
        <w:t xml:space="preserve">". </w:t>
      </w:r>
    </w:p>
    <w:p w:rsidR="00CD794F" w:rsidRDefault="00CD794F" w:rsidP="00CD794F">
      <w:pPr>
        <w:pStyle w:val="ad"/>
        <w:rPr>
          <w:rFonts w:ascii="David" w:eastAsia="Calibri" w:hAnsi="David"/>
          <w:noProof w:val="0"/>
          <w:rtl/>
        </w:rPr>
      </w:pPr>
    </w:p>
    <w:p w:rsidR="00AF4B17" w:rsidRPr="002249AD" w:rsidRDefault="00CD794F" w:rsidP="004F2AF5">
      <w:pPr>
        <w:numPr>
          <w:ilvl w:val="0"/>
          <w:numId w:val="1"/>
        </w:numPr>
        <w:spacing w:after="160" w:line="360" w:lineRule="auto"/>
        <w:ind w:left="651"/>
        <w:contextualSpacing/>
        <w:jc w:val="both"/>
        <w:rPr>
          <w:rFonts w:ascii="David" w:eastAsia="Calibri" w:hAnsi="David"/>
          <w:noProof w:val="0"/>
        </w:rPr>
      </w:pPr>
      <w:r w:rsidRPr="002249AD">
        <w:rPr>
          <w:rFonts w:ascii="David" w:eastAsia="Calibri" w:hAnsi="David" w:hint="cs"/>
          <w:noProof w:val="0"/>
          <w:rtl/>
        </w:rPr>
        <w:t xml:space="preserve">דהיינו המומחה הבהיר שהוראות </w:t>
      </w:r>
      <w:r w:rsidR="00AF4B17" w:rsidRPr="002249AD">
        <w:rPr>
          <w:rFonts w:ascii="David" w:eastAsia="Calibri" w:hAnsi="David" w:hint="cs"/>
          <w:noProof w:val="0"/>
          <w:rtl/>
        </w:rPr>
        <w:t>סעיף 6 (ב) ל</w:t>
      </w:r>
      <w:r w:rsidRPr="002249AD">
        <w:rPr>
          <w:rFonts w:ascii="David" w:eastAsia="Calibri" w:hAnsi="David" w:hint="cs"/>
          <w:noProof w:val="0"/>
          <w:rtl/>
        </w:rPr>
        <w:t xml:space="preserve">חוק לחלוקת חיסכון פנסיוני הנטענות אינן רלוונטיות לדרך החישוב של איזון משאבים למועד הקרע באמצעות היוון כפי </w:t>
      </w:r>
      <w:r w:rsidR="00AF4B17" w:rsidRPr="002249AD">
        <w:rPr>
          <w:rFonts w:ascii="David" w:eastAsia="Calibri" w:hAnsi="David" w:hint="cs"/>
          <w:noProof w:val="0"/>
          <w:rtl/>
        </w:rPr>
        <w:t>שהוסכם על הצדדים דנן</w:t>
      </w:r>
      <w:r w:rsidRPr="002249AD">
        <w:rPr>
          <w:rFonts w:ascii="David" w:eastAsia="Calibri" w:hAnsi="David" w:hint="cs"/>
          <w:noProof w:val="0"/>
          <w:rtl/>
        </w:rPr>
        <w:t>; ממילא מ</w:t>
      </w:r>
      <w:r w:rsidR="00AF4B17" w:rsidRPr="002249AD">
        <w:rPr>
          <w:rFonts w:ascii="David" w:eastAsia="Calibri" w:hAnsi="David" w:hint="cs"/>
          <w:noProof w:val="0"/>
          <w:rtl/>
        </w:rPr>
        <w:t xml:space="preserve">שבחרו הצדדים בהסכמה לערוך היוון, </w:t>
      </w:r>
      <w:r w:rsidRPr="002249AD">
        <w:rPr>
          <w:rFonts w:ascii="David" w:eastAsia="Calibri" w:hAnsi="David" w:hint="cs"/>
          <w:noProof w:val="0"/>
          <w:rtl/>
        </w:rPr>
        <w:t xml:space="preserve">אין </w:t>
      </w:r>
      <w:r w:rsidR="002249AD" w:rsidRPr="002249AD">
        <w:rPr>
          <w:rFonts w:ascii="David" w:eastAsia="Calibri" w:hAnsi="David" w:hint="cs"/>
          <w:noProof w:val="0"/>
          <w:rtl/>
        </w:rPr>
        <w:t>רלוונטיות ל</w:t>
      </w:r>
      <w:r w:rsidRPr="002249AD">
        <w:rPr>
          <w:rFonts w:ascii="David" w:eastAsia="Calibri" w:hAnsi="David" w:hint="cs"/>
          <w:noProof w:val="0"/>
          <w:rtl/>
        </w:rPr>
        <w:t>הוראות החוק</w:t>
      </w:r>
      <w:r w:rsidR="00AF4B17" w:rsidRPr="002249AD">
        <w:rPr>
          <w:rFonts w:ascii="David" w:eastAsia="Calibri" w:hAnsi="David" w:hint="cs"/>
          <w:noProof w:val="0"/>
          <w:rtl/>
        </w:rPr>
        <w:t>.</w:t>
      </w:r>
      <w:r w:rsidR="002249AD" w:rsidRPr="002249AD">
        <w:rPr>
          <w:rFonts w:ascii="David" w:eastAsia="Calibri" w:hAnsi="David" w:hint="cs"/>
          <w:noProof w:val="0"/>
          <w:rtl/>
        </w:rPr>
        <w:t xml:space="preserve"> מכל מקום </w:t>
      </w:r>
      <w:r w:rsidR="00EA2BC3" w:rsidRPr="002249AD">
        <w:rPr>
          <w:rFonts w:ascii="David" w:eastAsia="Calibri" w:hAnsi="David" w:hint="cs"/>
          <w:noProof w:val="0"/>
          <w:rtl/>
        </w:rPr>
        <w:t xml:space="preserve">המומחה </w:t>
      </w:r>
      <w:r w:rsidR="002249AD">
        <w:rPr>
          <w:rFonts w:ascii="David" w:eastAsia="Calibri" w:hAnsi="David" w:hint="cs"/>
          <w:noProof w:val="0"/>
          <w:rtl/>
        </w:rPr>
        <w:t xml:space="preserve">טען </w:t>
      </w:r>
      <w:r w:rsidR="00EA2BC3" w:rsidRPr="002249AD">
        <w:rPr>
          <w:rFonts w:ascii="David" w:eastAsia="Calibri" w:hAnsi="David" w:hint="cs"/>
          <w:noProof w:val="0"/>
          <w:rtl/>
        </w:rPr>
        <w:t>כי בנסיבותיו של המקרה דנן, בחינת התשואות מעבר לריבית והצמדה תגדיל את נכסי הנתבעת, ועשויה אך לגרוע מזכויותיה.</w:t>
      </w:r>
    </w:p>
    <w:p w:rsidR="00AF4B17" w:rsidRDefault="00AF4B17" w:rsidP="00AF4B17">
      <w:pPr>
        <w:pStyle w:val="ad"/>
        <w:rPr>
          <w:rFonts w:ascii="David" w:eastAsia="Calibri" w:hAnsi="David"/>
          <w:noProof w:val="0"/>
          <w:rtl/>
        </w:rPr>
      </w:pPr>
    </w:p>
    <w:p w:rsidR="00AF4B17" w:rsidRDefault="00AF4B17" w:rsidP="004F2AF5">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noProof w:val="0"/>
          <w:rtl/>
        </w:rPr>
        <w:t>הבהרות המומחה מספקות בעיני ולא מצאתי כי נפלה טעות בשיקול דעתו לעניין זה</w:t>
      </w:r>
      <w:r w:rsidR="00E23AED">
        <w:rPr>
          <w:rFonts w:ascii="David" w:eastAsia="Calibri" w:hAnsi="David" w:hint="cs"/>
          <w:noProof w:val="0"/>
          <w:rtl/>
        </w:rPr>
        <w:t>, המצדיקה התערבות שיפוטית במסקנותיו</w:t>
      </w:r>
      <w:r>
        <w:rPr>
          <w:rFonts w:ascii="David" w:eastAsia="Calibri" w:hAnsi="David" w:hint="cs"/>
          <w:noProof w:val="0"/>
          <w:rtl/>
        </w:rPr>
        <w:t>.</w:t>
      </w:r>
    </w:p>
    <w:p w:rsidR="00AF4B17" w:rsidRPr="00EA2BC3" w:rsidRDefault="00AF4B17" w:rsidP="00AF4B17">
      <w:pPr>
        <w:pStyle w:val="ad"/>
        <w:rPr>
          <w:rFonts w:ascii="David" w:eastAsia="Calibri" w:hAnsi="David"/>
          <w:noProof w:val="0"/>
          <w:rtl/>
        </w:rPr>
      </w:pPr>
    </w:p>
    <w:p w:rsidR="00AF4B17" w:rsidRPr="00AF4B17" w:rsidRDefault="00AF4B17" w:rsidP="000D414A">
      <w:pPr>
        <w:numPr>
          <w:ilvl w:val="0"/>
          <w:numId w:val="1"/>
        </w:numPr>
        <w:spacing w:after="160" w:line="360" w:lineRule="auto"/>
        <w:ind w:left="651"/>
        <w:contextualSpacing/>
        <w:jc w:val="both"/>
        <w:rPr>
          <w:rFonts w:ascii="David" w:eastAsia="Calibri" w:hAnsi="David"/>
          <w:noProof w:val="0"/>
        </w:rPr>
      </w:pPr>
      <w:r w:rsidRPr="000D414A">
        <w:rPr>
          <w:rFonts w:ascii="David" w:eastAsia="Calibri" w:hAnsi="David" w:hint="cs"/>
          <w:noProof w:val="0"/>
          <w:rtl/>
        </w:rPr>
        <w:lastRenderedPageBreak/>
        <w:t>דברים אלו יפים ביתר שאת</w:t>
      </w:r>
      <w:r w:rsidR="00C90267" w:rsidRPr="000D414A">
        <w:rPr>
          <w:rFonts w:ascii="David" w:eastAsia="Calibri" w:hAnsi="David" w:hint="cs"/>
          <w:noProof w:val="0"/>
          <w:rtl/>
        </w:rPr>
        <w:t xml:space="preserve"> </w:t>
      </w:r>
      <w:r w:rsidRPr="000D414A">
        <w:rPr>
          <w:rFonts w:ascii="David" w:eastAsia="Calibri" w:hAnsi="David" w:hint="cs"/>
          <w:noProof w:val="0"/>
          <w:rtl/>
        </w:rPr>
        <w:t>עת הצדדים עצמם, בהסכם שקיבל תוקף של החלטה קבעו</w:t>
      </w:r>
      <w:r>
        <w:rPr>
          <w:rFonts w:ascii="David" w:eastAsia="Calibri" w:hAnsi="David" w:hint="cs"/>
          <w:noProof w:val="0"/>
          <w:rtl/>
        </w:rPr>
        <w:t xml:space="preserve"> מפורשות כי </w:t>
      </w:r>
      <w:r w:rsidRPr="00AF4B17">
        <w:rPr>
          <w:rFonts w:ascii="David" w:eastAsia="Calibri" w:hAnsi="David" w:hint="cs"/>
          <w:noProof w:val="0"/>
          <w:rtl/>
        </w:rPr>
        <w:t xml:space="preserve">ערך הזכויות </w:t>
      </w:r>
      <w:r>
        <w:rPr>
          <w:rFonts w:ascii="David" w:eastAsia="Calibri" w:hAnsi="David" w:hint="cs"/>
          <w:noProof w:val="0"/>
          <w:rtl/>
        </w:rPr>
        <w:t xml:space="preserve">(לרבות קופות הגמל) </w:t>
      </w:r>
      <w:r w:rsidRPr="00AF4B17">
        <w:rPr>
          <w:rFonts w:ascii="David" w:eastAsia="Calibri" w:hAnsi="David" w:hint="cs"/>
          <w:noProof w:val="0"/>
          <w:rtl/>
        </w:rPr>
        <w:t>יחושב</w:t>
      </w:r>
      <w:r>
        <w:rPr>
          <w:rFonts w:ascii="David" w:eastAsia="Calibri" w:hAnsi="David" w:hint="cs"/>
          <w:noProof w:val="0"/>
          <w:rtl/>
        </w:rPr>
        <w:t>ו</w:t>
      </w:r>
      <w:r w:rsidRPr="00AF4B17">
        <w:rPr>
          <w:rFonts w:ascii="David" w:eastAsia="Calibri" w:hAnsi="David" w:hint="cs"/>
          <w:noProof w:val="0"/>
          <w:rtl/>
        </w:rPr>
        <w:t xml:space="preserve"> </w:t>
      </w:r>
      <w:r w:rsidRPr="000D414A">
        <w:rPr>
          <w:rFonts w:ascii="David" w:eastAsia="Calibri" w:hAnsi="David" w:hint="cs"/>
          <w:noProof w:val="0"/>
          <w:rtl/>
        </w:rPr>
        <w:t>נכון למועד הפירוד</w:t>
      </w:r>
      <w:r>
        <w:rPr>
          <w:rFonts w:ascii="David" w:eastAsia="Calibri" w:hAnsi="David" w:hint="cs"/>
          <w:noProof w:val="0"/>
          <w:rtl/>
        </w:rPr>
        <w:t xml:space="preserve">, </w:t>
      </w:r>
      <w:r w:rsidRPr="000D414A">
        <w:rPr>
          <w:rFonts w:ascii="David" w:eastAsia="Calibri" w:hAnsi="David" w:hint="cs"/>
          <w:b/>
          <w:bCs/>
          <w:noProof w:val="0"/>
          <w:rtl/>
        </w:rPr>
        <w:t>ולא התייחסו בהסכם להוספת תשואות</w:t>
      </w:r>
      <w:r>
        <w:rPr>
          <w:rFonts w:ascii="David" w:eastAsia="Calibri" w:hAnsi="David" w:hint="cs"/>
          <w:noProof w:val="0"/>
          <w:rtl/>
        </w:rPr>
        <w:t>, על אף שההסכם נערך מספר שנים לאחר מועד הקרע, והיו יכולים לדעת באותה עת שנצברו תשואות.</w:t>
      </w:r>
    </w:p>
    <w:p w:rsidR="00CD794F" w:rsidRDefault="00CD794F" w:rsidP="00CD794F">
      <w:pPr>
        <w:pStyle w:val="ad"/>
        <w:rPr>
          <w:rFonts w:ascii="David" w:eastAsia="Calibri" w:hAnsi="David"/>
          <w:noProof w:val="0"/>
          <w:rtl/>
        </w:rPr>
      </w:pPr>
    </w:p>
    <w:p w:rsidR="001956B0" w:rsidRPr="001956B0" w:rsidRDefault="00F93CFF" w:rsidP="00F93CFF">
      <w:pPr>
        <w:numPr>
          <w:ilvl w:val="0"/>
          <w:numId w:val="1"/>
        </w:numPr>
        <w:spacing w:after="160" w:line="360" w:lineRule="auto"/>
        <w:ind w:left="651"/>
        <w:contextualSpacing/>
        <w:jc w:val="both"/>
        <w:rPr>
          <w:rFonts w:ascii="David" w:eastAsia="Calibri" w:hAnsi="David"/>
          <w:noProof w:val="0"/>
          <w:rtl/>
        </w:rPr>
      </w:pPr>
      <w:r>
        <w:rPr>
          <w:rFonts w:ascii="David" w:eastAsia="Calibri" w:hAnsi="David" w:hint="cs"/>
          <w:noProof w:val="0"/>
          <w:rtl/>
        </w:rPr>
        <w:t xml:space="preserve">כאמור לעיל, המומחה התחשב בצורך להצמיד את הסכומים שהתקבלו על פי חוות דעתו  ממועד הקרע ועד היום, לנוכח השינויים שחלו  בשווי הנכסים מאז, וציין לעניין זה מפורשות בחוות דעתו כי </w:t>
      </w:r>
      <w:r w:rsidR="001956B0" w:rsidRPr="001956B0">
        <w:rPr>
          <w:rFonts w:ascii="David" w:eastAsia="Calibri" w:hAnsi="David"/>
          <w:noProof w:val="0"/>
          <w:rtl/>
        </w:rPr>
        <w:t>"</w:t>
      </w:r>
      <w:r w:rsidR="001956B0" w:rsidRPr="001956B0">
        <w:rPr>
          <w:rFonts w:ascii="David" w:eastAsia="Calibri" w:hAnsi="David"/>
          <w:b/>
          <w:bCs/>
          <w:noProof w:val="0"/>
          <w:rtl/>
        </w:rPr>
        <w:t>ממועד הקרע ועד היום חלו שינויים בשווי הנכסים וההפרש להעברה ישא הצמדה/ריבית והצמדה על פי החלטת בימ"ש</w:t>
      </w:r>
      <w:r w:rsidR="001956B0" w:rsidRPr="001956B0">
        <w:rPr>
          <w:rFonts w:ascii="David" w:eastAsia="Calibri" w:hAnsi="David"/>
          <w:noProof w:val="0"/>
          <w:rtl/>
        </w:rPr>
        <w:t>". (ראו הסיפא בעמ' 5 לחווה"ד).</w:t>
      </w:r>
    </w:p>
    <w:p w:rsidR="001956B0" w:rsidRPr="001956B0" w:rsidRDefault="001956B0" w:rsidP="001956B0">
      <w:pPr>
        <w:spacing w:after="160" w:line="256" w:lineRule="auto"/>
        <w:ind w:left="720"/>
        <w:contextualSpacing/>
        <w:rPr>
          <w:rFonts w:ascii="David" w:eastAsia="Calibri" w:hAnsi="David"/>
          <w:noProof w:val="0"/>
        </w:rPr>
      </w:pPr>
    </w:p>
    <w:p w:rsidR="001956B0" w:rsidRPr="0076725E" w:rsidRDefault="00766229" w:rsidP="004F2AF5">
      <w:pPr>
        <w:numPr>
          <w:ilvl w:val="0"/>
          <w:numId w:val="1"/>
        </w:numPr>
        <w:spacing w:after="160" w:line="360" w:lineRule="auto"/>
        <w:ind w:left="651"/>
        <w:contextualSpacing/>
        <w:jc w:val="both"/>
        <w:rPr>
          <w:rFonts w:ascii="David" w:eastAsia="Calibri" w:hAnsi="David"/>
          <w:noProof w:val="0"/>
          <w:rtl/>
        </w:rPr>
      </w:pPr>
      <w:r>
        <w:rPr>
          <w:rFonts w:ascii="David" w:eastAsia="Calibri" w:hAnsi="David" w:hint="cs"/>
          <w:noProof w:val="0"/>
          <w:rtl/>
        </w:rPr>
        <w:t xml:space="preserve">יובהר כי </w:t>
      </w:r>
      <w:r w:rsidR="002249AD" w:rsidRPr="002249AD">
        <w:rPr>
          <w:rFonts w:ascii="David" w:eastAsia="Calibri" w:hAnsi="David"/>
          <w:noProof w:val="0"/>
          <w:rtl/>
        </w:rPr>
        <w:t xml:space="preserve">המומחה נקט בדרך חישוב ערכם של כלל הזכויות נכון </w:t>
      </w:r>
      <w:r w:rsidR="002249AD" w:rsidRPr="00F93CFF">
        <w:rPr>
          <w:rFonts w:ascii="David" w:eastAsia="Calibri" w:hAnsi="David"/>
          <w:b/>
          <w:bCs/>
          <w:noProof w:val="0"/>
          <w:rtl/>
        </w:rPr>
        <w:t>למועד אחיד</w:t>
      </w:r>
      <w:r w:rsidR="002249AD" w:rsidRPr="002249AD">
        <w:rPr>
          <w:rFonts w:ascii="David" w:eastAsia="Calibri" w:hAnsi="David"/>
          <w:noProof w:val="0"/>
          <w:rtl/>
        </w:rPr>
        <w:t>- הוא מועד הקרע, ואז ערך את ההיוון הנדרש</w:t>
      </w:r>
      <w:r>
        <w:rPr>
          <w:rFonts w:ascii="David" w:eastAsia="Calibri" w:hAnsi="David" w:hint="cs"/>
          <w:noProof w:val="0"/>
          <w:rtl/>
        </w:rPr>
        <w:t xml:space="preserve">, כפי שהעיד </w:t>
      </w:r>
      <w:r w:rsidR="00CD794F" w:rsidRPr="0076725E">
        <w:rPr>
          <w:rFonts w:ascii="David" w:eastAsia="Calibri" w:hAnsi="David"/>
          <w:noProof w:val="0"/>
          <w:rtl/>
        </w:rPr>
        <w:t>בחקירתו</w:t>
      </w:r>
      <w:r>
        <w:rPr>
          <w:rFonts w:ascii="David" w:eastAsia="Calibri" w:hAnsi="David" w:hint="cs"/>
          <w:noProof w:val="0"/>
          <w:rtl/>
        </w:rPr>
        <w:t xml:space="preserve">: </w:t>
      </w:r>
      <w:r w:rsidR="00CD794F" w:rsidRPr="0076725E">
        <w:rPr>
          <w:rFonts w:ascii="David" w:eastAsia="Calibri" w:hAnsi="David"/>
          <w:noProof w:val="0"/>
          <w:rtl/>
        </w:rPr>
        <w:t xml:space="preserve"> "</w:t>
      </w:r>
      <w:r w:rsidR="00CD794F" w:rsidRPr="0076725E">
        <w:rPr>
          <w:rFonts w:ascii="David" w:eastAsia="Calibri" w:hAnsi="David"/>
          <w:b/>
          <w:bCs/>
          <w:noProof w:val="0"/>
          <w:rtl/>
        </w:rPr>
        <w:t>נדרש להביא את כל הסכומים לאותו מכנה משותף היינו אותו תאריך והתאריך שהתייחסתי אליו הוא מועד הקרע ובמידת הצורך ניתן להתייחס לסיכום סופי ממועד זה עד למועד התשלום בפועל</w:t>
      </w:r>
      <w:r w:rsidR="00CD794F" w:rsidRPr="0076725E">
        <w:rPr>
          <w:rFonts w:ascii="David" w:eastAsia="Calibri" w:hAnsi="David"/>
          <w:noProof w:val="0"/>
          <w:rtl/>
        </w:rPr>
        <w:t>" (שורו</w:t>
      </w:r>
      <w:r w:rsidR="009B1954" w:rsidRPr="0076725E">
        <w:rPr>
          <w:rFonts w:ascii="David" w:eastAsia="Calibri" w:hAnsi="David" w:hint="cs"/>
          <w:noProof w:val="0"/>
          <w:rtl/>
        </w:rPr>
        <w:t>ת</w:t>
      </w:r>
      <w:r w:rsidR="0076725E" w:rsidRPr="0076725E">
        <w:rPr>
          <w:rFonts w:ascii="David" w:eastAsia="Calibri" w:hAnsi="David"/>
          <w:noProof w:val="0"/>
          <w:rtl/>
        </w:rPr>
        <w:t xml:space="preserve"> 23-24 עמ' 26 לפרוט')</w:t>
      </w:r>
      <w:r w:rsidR="0076725E" w:rsidRPr="0076725E">
        <w:rPr>
          <w:rFonts w:ascii="David" w:eastAsia="Calibri" w:hAnsi="David" w:hint="cs"/>
          <w:noProof w:val="0"/>
          <w:rtl/>
        </w:rPr>
        <w:t xml:space="preserve">; </w:t>
      </w:r>
      <w:r w:rsidR="001956B0" w:rsidRPr="0076725E">
        <w:rPr>
          <w:rFonts w:ascii="David" w:eastAsia="Calibri" w:hAnsi="David"/>
          <w:noProof w:val="0"/>
          <w:rtl/>
        </w:rPr>
        <w:t xml:space="preserve">בהצמדה האמורה של הסכום שנקבע בחווה"ד יש </w:t>
      </w:r>
      <w:r w:rsidR="00CD794F" w:rsidRPr="0076725E">
        <w:rPr>
          <w:rFonts w:ascii="David" w:eastAsia="Calibri" w:hAnsi="David" w:hint="cs"/>
          <w:noProof w:val="0"/>
          <w:rtl/>
        </w:rPr>
        <w:t>משום מענה ראוי לסוגיה.</w:t>
      </w:r>
    </w:p>
    <w:p w:rsidR="001956B0" w:rsidRPr="001956B0" w:rsidRDefault="001956B0" w:rsidP="001956B0">
      <w:pPr>
        <w:spacing w:after="160" w:line="256" w:lineRule="auto"/>
        <w:ind w:left="720"/>
        <w:contextualSpacing/>
        <w:rPr>
          <w:rFonts w:ascii="David" w:eastAsia="Calibri" w:hAnsi="David"/>
          <w:noProof w:val="0"/>
        </w:rPr>
      </w:pPr>
    </w:p>
    <w:p w:rsidR="001956B0" w:rsidRDefault="001956B0" w:rsidP="004F2AF5">
      <w:pPr>
        <w:numPr>
          <w:ilvl w:val="0"/>
          <w:numId w:val="1"/>
        </w:numPr>
        <w:spacing w:after="160" w:line="360" w:lineRule="auto"/>
        <w:ind w:left="651"/>
        <w:contextualSpacing/>
        <w:jc w:val="both"/>
        <w:rPr>
          <w:rFonts w:ascii="David" w:eastAsia="Calibri" w:hAnsi="David"/>
          <w:b/>
          <w:bCs/>
          <w:noProof w:val="0"/>
        </w:rPr>
      </w:pPr>
      <w:r w:rsidRPr="0076725E">
        <w:rPr>
          <w:rFonts w:ascii="David" w:eastAsia="Calibri" w:hAnsi="David"/>
          <w:b/>
          <w:bCs/>
          <w:noProof w:val="0"/>
          <w:rtl/>
        </w:rPr>
        <w:t>בנסיבות אלה</w:t>
      </w:r>
      <w:r w:rsidR="0076725E" w:rsidRPr="0076725E">
        <w:rPr>
          <w:rFonts w:ascii="David" w:eastAsia="Calibri" w:hAnsi="David" w:hint="cs"/>
          <w:b/>
          <w:bCs/>
          <w:noProof w:val="0"/>
          <w:rtl/>
        </w:rPr>
        <w:t>,</w:t>
      </w:r>
      <w:r w:rsidRPr="0076725E">
        <w:rPr>
          <w:rFonts w:ascii="David" w:eastAsia="Calibri" w:hAnsi="David"/>
          <w:b/>
          <w:bCs/>
          <w:noProof w:val="0"/>
          <w:rtl/>
        </w:rPr>
        <w:t xml:space="preserve"> אף טענה זו נדחית.</w:t>
      </w:r>
    </w:p>
    <w:p w:rsidR="00F93CFF" w:rsidRDefault="00F93CFF" w:rsidP="00F93CFF">
      <w:pPr>
        <w:pStyle w:val="ad"/>
        <w:rPr>
          <w:rFonts w:ascii="David" w:eastAsia="Calibri" w:hAnsi="David"/>
          <w:b/>
          <w:bCs/>
          <w:noProof w:val="0"/>
          <w:rtl/>
        </w:rPr>
      </w:pPr>
    </w:p>
    <w:p w:rsidR="001956B0" w:rsidRPr="0076725E" w:rsidRDefault="001956B0" w:rsidP="001956B0">
      <w:pPr>
        <w:spacing w:line="360" w:lineRule="auto"/>
        <w:jc w:val="both"/>
        <w:rPr>
          <w:rFonts w:ascii="David" w:eastAsia="Calibri" w:hAnsi="David"/>
          <w:b/>
          <w:bCs/>
          <w:noProof w:val="0"/>
          <w:sz w:val="26"/>
          <w:szCs w:val="26"/>
          <w:rtl/>
        </w:rPr>
      </w:pPr>
      <w:r w:rsidRPr="0076725E">
        <w:rPr>
          <w:rFonts w:ascii="David" w:eastAsia="Calibri" w:hAnsi="David"/>
          <w:b/>
          <w:bCs/>
          <w:noProof w:val="0"/>
          <w:sz w:val="26"/>
          <w:szCs w:val="26"/>
          <w:rtl/>
        </w:rPr>
        <w:t>זכויות התובע בקרן פנסיה ה</w:t>
      </w:r>
      <w:r w:rsidR="00CD794F" w:rsidRPr="0076725E">
        <w:rPr>
          <w:rFonts w:ascii="David" w:eastAsia="Calibri" w:hAnsi="David" w:hint="cs"/>
          <w:b/>
          <w:bCs/>
          <w:noProof w:val="0"/>
          <w:sz w:val="26"/>
          <w:szCs w:val="26"/>
          <w:rtl/>
        </w:rPr>
        <w:t>ו</w:t>
      </w:r>
      <w:r w:rsidRPr="0076725E">
        <w:rPr>
          <w:rFonts w:ascii="David" w:eastAsia="Calibri" w:hAnsi="David"/>
          <w:b/>
          <w:bCs/>
          <w:noProof w:val="0"/>
          <w:sz w:val="26"/>
          <w:szCs w:val="26"/>
          <w:rtl/>
        </w:rPr>
        <w:t>ותיקה מבטחים</w:t>
      </w:r>
    </w:p>
    <w:p w:rsidR="001956B0" w:rsidRPr="001956B0" w:rsidRDefault="001956B0" w:rsidP="001956B0">
      <w:pPr>
        <w:spacing w:after="160" w:line="256" w:lineRule="auto"/>
        <w:ind w:left="720"/>
        <w:contextualSpacing/>
        <w:rPr>
          <w:rFonts w:ascii="David" w:eastAsia="Calibri" w:hAnsi="David"/>
          <w:noProof w:val="0"/>
          <w:rtl/>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lastRenderedPageBreak/>
        <w:t>ל</w:t>
      </w:r>
      <w:r w:rsidR="00CD794F">
        <w:rPr>
          <w:rFonts w:ascii="David" w:eastAsia="Calibri" w:hAnsi="David" w:hint="cs"/>
          <w:noProof w:val="0"/>
          <w:rtl/>
        </w:rPr>
        <w:t xml:space="preserve">עניין </w:t>
      </w:r>
      <w:r w:rsidRPr="001956B0">
        <w:rPr>
          <w:rFonts w:ascii="David" w:eastAsia="Calibri" w:hAnsi="David"/>
          <w:noProof w:val="0"/>
          <w:rtl/>
        </w:rPr>
        <w:t>זכויותיו של התובע בקרן פנסיה הו</w:t>
      </w:r>
      <w:r w:rsidR="00CD794F">
        <w:rPr>
          <w:rFonts w:ascii="David" w:eastAsia="Calibri" w:hAnsi="David" w:hint="cs"/>
          <w:noProof w:val="0"/>
          <w:rtl/>
        </w:rPr>
        <w:t>ו</w:t>
      </w:r>
      <w:r w:rsidRPr="001956B0">
        <w:rPr>
          <w:rFonts w:ascii="David" w:eastAsia="Calibri" w:hAnsi="David"/>
          <w:noProof w:val="0"/>
          <w:rtl/>
        </w:rPr>
        <w:t xml:space="preserve">תיקה מבטחים בגין תקופת עבודתו בתע"ש  4/1980-6/1995 - טענה </w:t>
      </w:r>
      <w:r w:rsidRPr="00083AD9">
        <w:rPr>
          <w:rFonts w:ascii="David" w:eastAsia="Calibri" w:hAnsi="David"/>
          <w:noProof w:val="0"/>
          <w:rtl/>
        </w:rPr>
        <w:t>הנתבעת</w:t>
      </w:r>
      <w:r w:rsidRPr="001956B0">
        <w:rPr>
          <w:rFonts w:ascii="David" w:eastAsia="Calibri" w:hAnsi="David"/>
          <w:noProof w:val="0"/>
          <w:rtl/>
        </w:rPr>
        <w:t xml:space="preserve"> כי המומחה שגה בחוות דעתו כאשר חישב  את זכויות התובע לפי ערך הפדיון של הקרן, </w:t>
      </w:r>
      <w:r w:rsidR="00CD794F">
        <w:rPr>
          <w:rFonts w:ascii="David" w:eastAsia="Calibri" w:hAnsi="David" w:hint="cs"/>
          <w:noProof w:val="0"/>
          <w:rtl/>
        </w:rPr>
        <w:t xml:space="preserve">אולם לא שיערך </w:t>
      </w:r>
      <w:r w:rsidRPr="001956B0">
        <w:rPr>
          <w:rFonts w:ascii="David" w:eastAsia="Calibri" w:hAnsi="David"/>
          <w:noProof w:val="0"/>
          <w:rtl/>
        </w:rPr>
        <w:t xml:space="preserve">את סכום ערך הפדיון לפי המנגנון האמתי הקבוע לכך בתקנות קרן הפנסיה, ממועד הפירוד ועד למועד חוות הדעת, כמתחייב לטענתה לפי הוראות החוק לחלוקת חיסכון פנסיוני. </w:t>
      </w:r>
    </w:p>
    <w:p w:rsidR="001956B0" w:rsidRPr="001956B0" w:rsidRDefault="001956B0" w:rsidP="001956B0">
      <w:pPr>
        <w:spacing w:line="360" w:lineRule="auto"/>
        <w:ind w:left="651"/>
        <w:contextualSpacing/>
        <w:jc w:val="both"/>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Pr>
      </w:pPr>
      <w:r w:rsidRPr="00083AD9">
        <w:rPr>
          <w:rFonts w:ascii="David" w:eastAsia="Calibri" w:hAnsi="David"/>
          <w:b/>
          <w:bCs/>
          <w:noProof w:val="0"/>
          <w:rtl/>
        </w:rPr>
        <w:t>התובע</w:t>
      </w:r>
      <w:r w:rsidRPr="001956B0">
        <w:rPr>
          <w:rFonts w:ascii="David" w:eastAsia="Calibri" w:hAnsi="David"/>
          <w:noProof w:val="0"/>
          <w:rtl/>
        </w:rPr>
        <w:t xml:space="preserve"> טען כי תגובתו לעיל ביחס לשערוך נכונה אף בנוגע לטענה זו. התובע הוסיף וטען כי המומחה חישב את הזכויות על בסיס הנתונים שהוצגו בפניו וכן קבע מנגנון שערוך של הזכויות (הצמדה או הצמדה וריבית כדין) ולכן הוא לא קיפח איש מהצדדים. הנתבעת ממילא לא הציגה כל תחשיב שיוכיח טענתה לפיה דרך השערוך בה נקט המומחה מקפחת אותה אל מול תשואות קרן הפנסיה בפועל. כמו כן, הנתבעת נוהגת בחוסר תום לב עת העלתה טענה זו אך ביחס לקרן הפנסיה הוותיקה של התובע, בעוד שהמומחה נהג בתחשיב זהה לחלוטין בנוגע לחישוב קרן הפנסיה שלה במבטחים, ולאחר שהתחשיב נעשה הדדית ביחס לשני הצדדים וישנו שערוך אלטרנטיבי לתשואות הזכויות השונות – הרי שאין מקום לטענת הנתבעת.</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t xml:space="preserve">בסיכומי התשובה עמדה הנתבעת על טענתה לפי המומחה נקט בחישוב שגוי וטענה כי המומחה הודה כי שגה בחישוב הנתונים וכי היה עליו להשתמש במנגנון </w:t>
      </w:r>
      <w:r w:rsidR="005F31ED">
        <w:rPr>
          <w:rFonts w:ascii="David" w:eastAsia="Calibri" w:hAnsi="David" w:hint="cs"/>
          <w:noProof w:val="0"/>
          <w:rtl/>
        </w:rPr>
        <w:t xml:space="preserve">התשואות </w:t>
      </w:r>
      <w:r w:rsidRPr="001956B0">
        <w:rPr>
          <w:rFonts w:ascii="David" w:eastAsia="Calibri" w:hAnsi="David"/>
          <w:noProof w:val="0"/>
          <w:rtl/>
        </w:rPr>
        <w:t xml:space="preserve">של קרן מבטחים. </w:t>
      </w:r>
    </w:p>
    <w:p w:rsidR="001956B0" w:rsidRPr="001956B0" w:rsidRDefault="001956B0" w:rsidP="001956B0">
      <w:pPr>
        <w:spacing w:after="160" w:line="256" w:lineRule="auto"/>
        <w:ind w:left="720"/>
        <w:contextualSpacing/>
        <w:rPr>
          <w:rFonts w:ascii="David" w:eastAsia="Calibri" w:hAnsi="David"/>
          <w:noProof w:val="0"/>
        </w:rPr>
      </w:pPr>
    </w:p>
    <w:p w:rsidR="002D21C7" w:rsidRDefault="001956B0" w:rsidP="002D21C7">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noProof w:val="0"/>
          <w:rtl/>
        </w:rPr>
        <w:t>ככל שהנתבעת מתבססת בטענתה זו על דברי המומחה</w:t>
      </w:r>
      <w:r w:rsidR="0057483B">
        <w:rPr>
          <w:rFonts w:ascii="David" w:eastAsia="Calibri" w:hAnsi="David" w:hint="cs"/>
          <w:noProof w:val="0"/>
          <w:rtl/>
        </w:rPr>
        <w:t xml:space="preserve"> </w:t>
      </w:r>
      <w:r w:rsidR="000642EB">
        <w:rPr>
          <w:rFonts w:ascii="David" w:eastAsia="Calibri" w:hAnsi="David" w:hint="cs"/>
          <w:noProof w:val="0"/>
          <w:rtl/>
        </w:rPr>
        <w:t>לפיהם הוא הודה בחקירתו כי "</w:t>
      </w:r>
      <w:r w:rsidR="0057483B">
        <w:rPr>
          <w:rFonts w:ascii="David" w:eastAsia="Calibri" w:hAnsi="David" w:hint="cs"/>
          <w:b/>
          <w:bCs/>
          <w:noProof w:val="0"/>
          <w:rtl/>
        </w:rPr>
        <w:t>יש מנגנון תשוא</w:t>
      </w:r>
      <w:r w:rsidR="000642EB" w:rsidRPr="0057483B">
        <w:rPr>
          <w:rFonts w:ascii="David" w:eastAsia="Calibri" w:hAnsi="David" w:hint="cs"/>
          <w:b/>
          <w:bCs/>
          <w:noProof w:val="0"/>
          <w:rtl/>
        </w:rPr>
        <w:t>ות בקרן מבטחים</w:t>
      </w:r>
      <w:r w:rsidR="000642EB">
        <w:rPr>
          <w:rFonts w:ascii="David" w:eastAsia="Calibri" w:hAnsi="David" w:hint="cs"/>
          <w:noProof w:val="0"/>
          <w:rtl/>
        </w:rPr>
        <w:t>"</w:t>
      </w:r>
      <w:r w:rsidR="0057483B">
        <w:rPr>
          <w:rFonts w:ascii="David" w:eastAsia="Calibri" w:hAnsi="David" w:hint="cs"/>
          <w:noProof w:val="0"/>
          <w:rtl/>
        </w:rPr>
        <w:t>;</w:t>
      </w:r>
      <w:r w:rsidR="000642EB">
        <w:rPr>
          <w:rFonts w:ascii="David" w:eastAsia="Calibri" w:hAnsi="David" w:hint="cs"/>
          <w:noProof w:val="0"/>
          <w:rtl/>
        </w:rPr>
        <w:t xml:space="preserve"> אולם הוא לא השתמש במנגנון זה</w:t>
      </w:r>
      <w:r w:rsidR="002D21C7">
        <w:rPr>
          <w:rFonts w:ascii="David" w:eastAsia="Calibri" w:hAnsi="David" w:hint="cs"/>
          <w:noProof w:val="0"/>
          <w:rtl/>
        </w:rPr>
        <w:t xml:space="preserve"> "</w:t>
      </w:r>
      <w:r w:rsidR="002D21C7" w:rsidRPr="0057483B">
        <w:rPr>
          <w:rFonts w:ascii="David" w:eastAsia="Calibri" w:hAnsi="David" w:hint="cs"/>
          <w:b/>
          <w:bCs/>
          <w:noProof w:val="0"/>
          <w:rtl/>
        </w:rPr>
        <w:t>היות שחשבתי את הנכסים למועד הקרע. ולכן בחוו"</w:t>
      </w:r>
      <w:r w:rsidR="0057483B">
        <w:rPr>
          <w:rFonts w:ascii="David" w:eastAsia="Calibri" w:hAnsi="David" w:hint="cs"/>
          <w:b/>
          <w:bCs/>
          <w:noProof w:val="0"/>
          <w:rtl/>
        </w:rPr>
        <w:t>ד רואים את מנ</w:t>
      </w:r>
      <w:r w:rsidR="002D21C7" w:rsidRPr="0057483B">
        <w:rPr>
          <w:rFonts w:ascii="David" w:eastAsia="Calibri" w:hAnsi="David" w:hint="cs"/>
          <w:b/>
          <w:bCs/>
          <w:noProof w:val="0"/>
          <w:rtl/>
        </w:rPr>
        <w:t>גנון ההיוון למועד הקרע</w:t>
      </w:r>
      <w:r w:rsidR="002D21C7">
        <w:rPr>
          <w:rFonts w:ascii="David" w:eastAsia="Calibri" w:hAnsi="David" w:hint="cs"/>
          <w:noProof w:val="0"/>
          <w:rtl/>
        </w:rPr>
        <w:t>" (עמ' 26 שו' 11-16 לפרוט'), הרי שאין בכך כל הודאה בטענה כי הוא שגה בחישוב אלא רק הבהרה של דרך החישוב בה נקט  המומחה.</w:t>
      </w:r>
    </w:p>
    <w:p w:rsidR="00EA100A" w:rsidRDefault="00EA100A" w:rsidP="00EA100A">
      <w:pPr>
        <w:pStyle w:val="ad"/>
        <w:rPr>
          <w:rFonts w:ascii="David" w:eastAsia="Calibri" w:hAnsi="David"/>
          <w:noProof w:val="0"/>
          <w:rtl/>
        </w:rPr>
      </w:pPr>
    </w:p>
    <w:p w:rsidR="002D21C7" w:rsidRDefault="002D21C7" w:rsidP="002D21C7">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t xml:space="preserve">לעניין זה המומחה המשיך והבהיר כי "... </w:t>
      </w:r>
      <w:r w:rsidRPr="0061624C">
        <w:rPr>
          <w:rFonts w:ascii="David" w:eastAsia="Calibri" w:hAnsi="David" w:hint="cs"/>
          <w:b/>
          <w:bCs/>
          <w:noProof w:val="0"/>
          <w:rtl/>
        </w:rPr>
        <w:t>מנגנון תשואות היה נותן סכום אחר אבל אז היה צריך להתאים את כל חוו"ד למועד אחר. אי אפשר להשוות לתאריכים שונים צריכים לקחת נקודה אחת ולהשוות לה...."</w:t>
      </w:r>
      <w:r>
        <w:rPr>
          <w:rFonts w:ascii="David" w:eastAsia="Calibri" w:hAnsi="David" w:hint="cs"/>
          <w:noProof w:val="0"/>
          <w:rtl/>
        </w:rPr>
        <w:t xml:space="preserve"> (עמ' 26 שו' 17-19 לפרוט'); "</w:t>
      </w:r>
      <w:r w:rsidRPr="0061624C">
        <w:rPr>
          <w:rFonts w:ascii="David" w:eastAsia="Calibri" w:hAnsi="David" w:hint="cs"/>
          <w:b/>
          <w:bCs/>
          <w:noProof w:val="0"/>
          <w:rtl/>
        </w:rPr>
        <w:t>נדרש להביא את כל הסכומים לאותו מכנה משותף היינו אותו תאריך והתאריך שהתייחסתי אליו הוא מועד הקרע ובמידת הצורך ניתן להתייחס לסיכום סופי ממועד זה עד למועד התשלום בפועל"</w:t>
      </w:r>
      <w:r>
        <w:rPr>
          <w:rFonts w:ascii="David" w:eastAsia="Calibri" w:hAnsi="David" w:hint="cs"/>
          <w:noProof w:val="0"/>
          <w:rtl/>
        </w:rPr>
        <w:t xml:space="preserve"> (עמ' 26 שו' 23-24 לפרוט').</w:t>
      </w:r>
    </w:p>
    <w:p w:rsidR="002D21C7" w:rsidRDefault="002D21C7" w:rsidP="002D21C7">
      <w:pPr>
        <w:pStyle w:val="ad"/>
        <w:rPr>
          <w:rFonts w:ascii="David" w:eastAsia="Calibri" w:hAnsi="David"/>
          <w:noProof w:val="0"/>
          <w:rtl/>
        </w:rPr>
      </w:pPr>
    </w:p>
    <w:p w:rsidR="00CD794F" w:rsidRPr="001956B0" w:rsidRDefault="000300A6" w:rsidP="0061624C">
      <w:pPr>
        <w:numPr>
          <w:ilvl w:val="0"/>
          <w:numId w:val="1"/>
        </w:numPr>
        <w:spacing w:after="160" w:line="360" w:lineRule="auto"/>
        <w:ind w:left="651"/>
        <w:contextualSpacing/>
        <w:jc w:val="both"/>
        <w:rPr>
          <w:rFonts w:ascii="David" w:eastAsia="Calibri" w:hAnsi="David"/>
          <w:noProof w:val="0"/>
          <w:rtl/>
        </w:rPr>
      </w:pPr>
      <w:r>
        <w:rPr>
          <w:rFonts w:ascii="David" w:eastAsia="Calibri" w:hAnsi="David" w:hint="cs"/>
          <w:noProof w:val="0"/>
          <w:rtl/>
        </w:rPr>
        <w:t xml:space="preserve">יוער כי </w:t>
      </w:r>
      <w:r w:rsidR="00CD794F">
        <w:rPr>
          <w:rFonts w:ascii="David" w:eastAsia="Calibri" w:hAnsi="David" w:hint="cs"/>
          <w:noProof w:val="0"/>
          <w:rtl/>
        </w:rPr>
        <w:t xml:space="preserve">בתשובותיו לשאלות ההבהרה </w:t>
      </w:r>
      <w:r w:rsidR="0061624C">
        <w:rPr>
          <w:rFonts w:ascii="David" w:eastAsia="Calibri" w:hAnsi="David" w:hint="cs"/>
          <w:noProof w:val="0"/>
          <w:rtl/>
        </w:rPr>
        <w:t xml:space="preserve">הבהיר המומחה </w:t>
      </w:r>
      <w:r w:rsidR="00CD794F">
        <w:rPr>
          <w:rFonts w:ascii="David" w:eastAsia="Calibri" w:hAnsi="David" w:hint="cs"/>
          <w:noProof w:val="0"/>
          <w:rtl/>
        </w:rPr>
        <w:t xml:space="preserve">כי </w:t>
      </w:r>
      <w:r w:rsidR="00D23822">
        <w:rPr>
          <w:rFonts w:ascii="David" w:eastAsia="Calibri" w:hAnsi="David" w:hint="cs"/>
          <w:noProof w:val="0"/>
          <w:rtl/>
        </w:rPr>
        <w:t xml:space="preserve">אף לעניין זה, </w:t>
      </w:r>
      <w:r w:rsidR="00083AD9">
        <w:rPr>
          <w:rFonts w:ascii="David" w:eastAsia="Calibri" w:hAnsi="David" w:hint="cs"/>
          <w:noProof w:val="0"/>
          <w:rtl/>
        </w:rPr>
        <w:t xml:space="preserve">אל לה לאישה לחשוב שבאופן חישוב זה נגרע מכיסה סכום </w:t>
      </w:r>
      <w:r w:rsidR="0076725E">
        <w:rPr>
          <w:rFonts w:ascii="David" w:eastAsia="Calibri" w:hAnsi="David" w:hint="cs"/>
          <w:noProof w:val="0"/>
          <w:rtl/>
        </w:rPr>
        <w:t>כלשהו</w:t>
      </w:r>
      <w:r w:rsidR="0061624C">
        <w:rPr>
          <w:rFonts w:ascii="David" w:eastAsia="Calibri" w:hAnsi="David" w:hint="cs"/>
          <w:noProof w:val="0"/>
          <w:rtl/>
        </w:rPr>
        <w:t xml:space="preserve"> "</w:t>
      </w:r>
      <w:r w:rsidR="0061624C" w:rsidRPr="0061624C">
        <w:rPr>
          <w:rFonts w:ascii="David" w:eastAsia="Calibri" w:hAnsi="David" w:hint="cs"/>
          <w:b/>
          <w:bCs/>
          <w:noProof w:val="0"/>
          <w:rtl/>
        </w:rPr>
        <w:t>...שכן חישוב איזון המשאבים בתיק זה מביא כמעט לשוויון בנכסים של כל צד, כך שבממוצע שיערוך ליום חוות הדעת היה מביא לתוצאה דומה</w:t>
      </w:r>
      <w:r w:rsidR="0061624C">
        <w:rPr>
          <w:rFonts w:ascii="David" w:eastAsia="Calibri" w:hAnsi="David" w:hint="cs"/>
          <w:noProof w:val="0"/>
          <w:rtl/>
        </w:rPr>
        <w:t>"</w:t>
      </w:r>
      <w:r w:rsidR="0076725E">
        <w:rPr>
          <w:rFonts w:ascii="David" w:eastAsia="Calibri" w:hAnsi="David" w:hint="cs"/>
          <w:noProof w:val="0"/>
          <w:rtl/>
        </w:rPr>
        <w:t xml:space="preserve"> (</w:t>
      </w:r>
      <w:r w:rsidR="00083AD9">
        <w:rPr>
          <w:rFonts w:ascii="David" w:eastAsia="Calibri" w:hAnsi="David" w:hint="cs"/>
          <w:noProof w:val="0"/>
          <w:rtl/>
        </w:rPr>
        <w:t>תשובה לשאלה 8 לשאלות ההבהרה).</w:t>
      </w:r>
    </w:p>
    <w:p w:rsidR="001956B0" w:rsidRPr="001956B0" w:rsidRDefault="001956B0" w:rsidP="001956B0">
      <w:pPr>
        <w:spacing w:after="160" w:line="256" w:lineRule="auto"/>
        <w:ind w:left="720"/>
        <w:contextualSpacing/>
        <w:rPr>
          <w:rFonts w:ascii="David" w:eastAsia="Calibri" w:hAnsi="David"/>
          <w:noProof w:val="0"/>
        </w:rPr>
      </w:pPr>
    </w:p>
    <w:p w:rsidR="00083AD9" w:rsidRDefault="001956B0" w:rsidP="0030146B">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noProof w:val="0"/>
          <w:rtl/>
        </w:rPr>
        <w:t xml:space="preserve">סבורתני כי </w:t>
      </w:r>
      <w:r w:rsidR="00083AD9">
        <w:rPr>
          <w:rFonts w:ascii="David" w:eastAsia="Calibri" w:hAnsi="David" w:hint="cs"/>
          <w:noProof w:val="0"/>
          <w:rtl/>
        </w:rPr>
        <w:t xml:space="preserve">עמדת המומחה כמו גם </w:t>
      </w:r>
      <w:r w:rsidRPr="001956B0">
        <w:rPr>
          <w:rFonts w:ascii="David" w:eastAsia="Calibri" w:hAnsi="David"/>
          <w:noProof w:val="0"/>
          <w:rtl/>
        </w:rPr>
        <w:t>הטעמים שהציג התובע נכונים יותר ואף מתיישבים עם מסקנתי האמורה לעיל ביחס לשערוך הזכויות</w:t>
      </w:r>
      <w:r w:rsidR="000D414A">
        <w:rPr>
          <w:rFonts w:ascii="David" w:eastAsia="Calibri" w:hAnsi="David" w:hint="cs"/>
          <w:noProof w:val="0"/>
          <w:rtl/>
        </w:rPr>
        <w:t xml:space="preserve"> בקופת הגמל</w:t>
      </w:r>
      <w:r w:rsidRPr="001956B0">
        <w:rPr>
          <w:rFonts w:ascii="David" w:eastAsia="Calibri" w:hAnsi="David"/>
          <w:noProof w:val="0"/>
          <w:rtl/>
        </w:rPr>
        <w:t xml:space="preserve">. </w:t>
      </w:r>
      <w:r w:rsidR="00083AD9">
        <w:rPr>
          <w:rFonts w:ascii="David" w:eastAsia="Calibri" w:hAnsi="David" w:hint="cs"/>
          <w:noProof w:val="0"/>
          <w:rtl/>
        </w:rPr>
        <w:t xml:space="preserve">מכל מקום, </w:t>
      </w:r>
      <w:r w:rsidR="0030146B">
        <w:rPr>
          <w:rFonts w:ascii="David" w:eastAsia="Calibri" w:hAnsi="David" w:hint="cs"/>
          <w:noProof w:val="0"/>
          <w:rtl/>
        </w:rPr>
        <w:t>המומחה הבהיר כי</w:t>
      </w:r>
      <w:r w:rsidR="00083AD9">
        <w:rPr>
          <w:rFonts w:ascii="David" w:eastAsia="Calibri" w:hAnsi="David" w:hint="cs"/>
          <w:noProof w:val="0"/>
          <w:rtl/>
        </w:rPr>
        <w:t xml:space="preserve"> היות ולשני הצדדים זכויות בקרן הפנסיה מבטחים,  אין נפקות </w:t>
      </w:r>
      <w:r w:rsidR="0076725E">
        <w:rPr>
          <w:rFonts w:ascii="David" w:eastAsia="Calibri" w:hAnsi="David" w:hint="cs"/>
          <w:noProof w:val="0"/>
          <w:rtl/>
        </w:rPr>
        <w:t>משמעותית</w:t>
      </w:r>
      <w:r w:rsidR="006966A0">
        <w:rPr>
          <w:rFonts w:ascii="David" w:eastAsia="Calibri" w:hAnsi="David" w:hint="cs"/>
          <w:noProof w:val="0"/>
          <w:rtl/>
        </w:rPr>
        <w:t xml:space="preserve"> לטענה זו שכן ממילא הש</w:t>
      </w:r>
      <w:r w:rsidR="00083AD9">
        <w:rPr>
          <w:rFonts w:ascii="David" w:eastAsia="Calibri" w:hAnsi="David" w:hint="cs"/>
          <w:noProof w:val="0"/>
          <w:rtl/>
        </w:rPr>
        <w:t xml:space="preserve">ערוך </w:t>
      </w:r>
      <w:r w:rsidR="00083AD9" w:rsidRPr="00A67C4E">
        <w:rPr>
          <w:rFonts w:ascii="David" w:eastAsia="Calibri" w:hAnsi="David" w:hint="cs"/>
          <w:noProof w:val="0"/>
          <w:rtl/>
        </w:rPr>
        <w:t>היה</w:t>
      </w:r>
      <w:r w:rsidR="00083AD9">
        <w:rPr>
          <w:rFonts w:ascii="David" w:eastAsia="Calibri" w:hAnsi="David" w:hint="cs"/>
          <w:noProof w:val="0"/>
          <w:rtl/>
        </w:rPr>
        <w:t xml:space="preserve"> חל באופן הדדי על זכויות שני הצדדים. </w:t>
      </w:r>
    </w:p>
    <w:p w:rsidR="00083AD9" w:rsidRDefault="00083AD9" w:rsidP="00083AD9">
      <w:pPr>
        <w:pStyle w:val="ad"/>
        <w:rPr>
          <w:rFonts w:ascii="David" w:eastAsia="Calibri" w:hAnsi="David"/>
          <w:noProof w:val="0"/>
          <w:rtl/>
        </w:rPr>
      </w:pPr>
    </w:p>
    <w:p w:rsidR="001956B0" w:rsidRPr="0076725E" w:rsidRDefault="001956B0" w:rsidP="004F2AF5">
      <w:pPr>
        <w:numPr>
          <w:ilvl w:val="0"/>
          <w:numId w:val="1"/>
        </w:numPr>
        <w:spacing w:after="160" w:line="360" w:lineRule="auto"/>
        <w:ind w:left="651"/>
        <w:contextualSpacing/>
        <w:jc w:val="both"/>
        <w:rPr>
          <w:rFonts w:ascii="David" w:eastAsia="Calibri" w:hAnsi="David"/>
          <w:b/>
          <w:bCs/>
          <w:noProof w:val="0"/>
          <w:rtl/>
        </w:rPr>
      </w:pPr>
      <w:r w:rsidRPr="0076725E">
        <w:rPr>
          <w:rFonts w:ascii="David" w:eastAsia="Calibri" w:hAnsi="David"/>
          <w:b/>
          <w:bCs/>
          <w:noProof w:val="0"/>
          <w:rtl/>
        </w:rPr>
        <w:t>בנסיבות אלה</w:t>
      </w:r>
      <w:r w:rsidR="00625CAB" w:rsidRPr="0076725E">
        <w:rPr>
          <w:rFonts w:ascii="David" w:eastAsia="Calibri" w:hAnsi="David" w:hint="cs"/>
          <w:b/>
          <w:bCs/>
          <w:noProof w:val="0"/>
          <w:rtl/>
        </w:rPr>
        <w:t>, איני מוצאת להתערב בחוות דעת המומחה לעניין זה, וטענ</w:t>
      </w:r>
      <w:r w:rsidR="0076725E">
        <w:rPr>
          <w:rFonts w:ascii="David" w:eastAsia="Calibri" w:hAnsi="David" w:hint="cs"/>
          <w:b/>
          <w:bCs/>
          <w:noProof w:val="0"/>
          <w:rtl/>
        </w:rPr>
        <w:t>ת הנתבעת נדחית.</w:t>
      </w:r>
    </w:p>
    <w:p w:rsidR="0030146B" w:rsidRDefault="0030146B" w:rsidP="00167BDA">
      <w:pPr>
        <w:spacing w:line="360" w:lineRule="auto"/>
        <w:ind w:left="291"/>
        <w:contextualSpacing/>
        <w:jc w:val="both"/>
        <w:rPr>
          <w:rFonts w:ascii="David" w:eastAsia="Calibri" w:hAnsi="David"/>
          <w:b/>
          <w:bCs/>
          <w:noProof w:val="0"/>
          <w:sz w:val="26"/>
          <w:szCs w:val="26"/>
          <w:rtl/>
        </w:rPr>
      </w:pPr>
    </w:p>
    <w:p w:rsidR="001956B0" w:rsidRPr="0076725E" w:rsidRDefault="001956B0" w:rsidP="00167BDA">
      <w:pPr>
        <w:spacing w:line="360" w:lineRule="auto"/>
        <w:ind w:left="291"/>
        <w:contextualSpacing/>
        <w:jc w:val="both"/>
        <w:rPr>
          <w:rFonts w:ascii="David" w:eastAsia="Calibri" w:hAnsi="David"/>
          <w:b/>
          <w:bCs/>
          <w:noProof w:val="0"/>
          <w:sz w:val="26"/>
          <w:szCs w:val="26"/>
          <w:rtl/>
        </w:rPr>
      </w:pPr>
      <w:r w:rsidRPr="00220510">
        <w:rPr>
          <w:rFonts w:ascii="David" w:eastAsia="Calibri" w:hAnsi="David"/>
          <w:b/>
          <w:bCs/>
          <w:noProof w:val="0"/>
          <w:sz w:val="26"/>
          <w:szCs w:val="26"/>
          <w:rtl/>
        </w:rPr>
        <w:t>מיסוי פנסיה ומענקים של התובע</w:t>
      </w:r>
    </w:p>
    <w:p w:rsidR="001956B0" w:rsidRPr="001956B0" w:rsidRDefault="001956B0" w:rsidP="001956B0">
      <w:pPr>
        <w:spacing w:line="360" w:lineRule="auto"/>
        <w:jc w:val="both"/>
        <w:rPr>
          <w:rFonts w:ascii="David" w:eastAsia="Calibri" w:hAnsi="David"/>
          <w:b/>
          <w:bCs/>
          <w:noProof w:val="0"/>
          <w:rtl/>
        </w:rPr>
      </w:pPr>
    </w:p>
    <w:p w:rsidR="006E2C7A" w:rsidRDefault="001E19CA" w:rsidP="004F2AF5">
      <w:pPr>
        <w:numPr>
          <w:ilvl w:val="0"/>
          <w:numId w:val="1"/>
        </w:numPr>
        <w:spacing w:after="160" w:line="360" w:lineRule="auto"/>
        <w:ind w:left="651"/>
        <w:contextualSpacing/>
        <w:jc w:val="both"/>
        <w:rPr>
          <w:rFonts w:ascii="David" w:eastAsia="Calibri" w:hAnsi="David"/>
        </w:rPr>
      </w:pPr>
      <w:r>
        <w:rPr>
          <w:rFonts w:ascii="David" w:eastAsia="Calibri" w:hAnsi="David" w:hint="cs"/>
          <w:rtl/>
        </w:rPr>
        <w:t xml:space="preserve">כאמור, לשם הגדרת הזכות </w:t>
      </w:r>
      <w:r w:rsidR="006E2C7A">
        <w:rPr>
          <w:rFonts w:ascii="David" w:eastAsia="Calibri" w:hAnsi="David" w:hint="cs"/>
          <w:rtl/>
        </w:rPr>
        <w:t>שצבר כל צד לצורך עריכת ההיוון</w:t>
      </w:r>
      <w:r>
        <w:rPr>
          <w:rFonts w:ascii="David" w:eastAsia="Calibri" w:hAnsi="David" w:hint="cs"/>
          <w:rtl/>
        </w:rPr>
        <w:t>, יש לבחון מה הסכום שאמור להתקבל אצל כל אחד מהצדדים בפועל, דהיינו לאחר תשלום המס</w:t>
      </w:r>
      <w:r w:rsidR="006E2C7A">
        <w:rPr>
          <w:rFonts w:ascii="David" w:eastAsia="Calibri" w:hAnsi="David" w:hint="cs"/>
          <w:rtl/>
        </w:rPr>
        <w:t>.</w:t>
      </w:r>
    </w:p>
    <w:p w:rsidR="006E2C7A" w:rsidRPr="001E19CA" w:rsidRDefault="006E2C7A" w:rsidP="006E2C7A">
      <w:pPr>
        <w:spacing w:after="160" w:line="360" w:lineRule="auto"/>
        <w:ind w:left="651"/>
        <w:contextualSpacing/>
        <w:jc w:val="both"/>
        <w:rPr>
          <w:rFonts w:ascii="David" w:eastAsia="Calibri" w:hAnsi="David"/>
        </w:rPr>
      </w:pPr>
    </w:p>
    <w:p w:rsidR="00F52A00" w:rsidRPr="00F52A00" w:rsidRDefault="00167BDA" w:rsidP="004F2AF5">
      <w:pPr>
        <w:numPr>
          <w:ilvl w:val="0"/>
          <w:numId w:val="1"/>
        </w:numPr>
        <w:spacing w:after="160" w:line="360" w:lineRule="auto"/>
        <w:ind w:left="651"/>
        <w:contextualSpacing/>
        <w:jc w:val="both"/>
        <w:rPr>
          <w:rFonts w:ascii="David" w:eastAsia="Calibri" w:hAnsi="David"/>
          <w:rtl/>
        </w:rPr>
      </w:pPr>
      <w:r w:rsidRPr="00F52A00">
        <w:rPr>
          <w:rFonts w:ascii="David" w:eastAsia="Calibri" w:hAnsi="David"/>
          <w:b/>
          <w:bCs/>
          <w:rtl/>
        </w:rPr>
        <w:t>הנתבעת</w:t>
      </w:r>
      <w:r w:rsidRPr="00F52A00">
        <w:rPr>
          <w:rFonts w:ascii="David" w:eastAsia="Calibri" w:hAnsi="David"/>
          <w:rtl/>
        </w:rPr>
        <w:t xml:space="preserve"> השיגה על ניכוי מס הכנסה של 45% ממענקי הפרישה של התובע וניכוי של כ- 7% מס הכנסה מהפנסיה שלו. לטענתה התובע יכול ליהנות מפטורים שונים בגין זכויותיו למענקי הפרישה בשיעורים שונים מהשיעורים בהם התחשב המומחה בחוות דעתו, וכן כתוצאה מפריס</w:t>
      </w:r>
      <w:r w:rsidR="0076725E" w:rsidRPr="00F52A00">
        <w:rPr>
          <w:rFonts w:ascii="David" w:eastAsia="Calibri" w:hAnsi="David" w:hint="cs"/>
          <w:rtl/>
        </w:rPr>
        <w:t>ת המענקים</w:t>
      </w:r>
      <w:r w:rsidRPr="00F52A00">
        <w:rPr>
          <w:rFonts w:ascii="David" w:eastAsia="Calibri" w:hAnsi="David"/>
          <w:rtl/>
        </w:rPr>
        <w:t xml:space="preserve"> ל 72 חודשים. </w:t>
      </w:r>
      <w:r w:rsidR="00F52A00" w:rsidRPr="00F52A00">
        <w:rPr>
          <w:rFonts w:ascii="David" w:eastAsia="Calibri" w:hAnsi="David" w:hint="cs"/>
          <w:rtl/>
        </w:rPr>
        <w:t xml:space="preserve">כן עמדה על כך כי שיעור הפטור בעת פרישתו הצפוייה של התובע לפנסיה ( 2025) יעמוד על 67% ( </w:t>
      </w:r>
      <w:r w:rsidR="00F52A00" w:rsidRPr="00F52A00">
        <w:rPr>
          <w:rFonts w:ascii="David" w:eastAsia="Calibri" w:hAnsi="David"/>
          <w:rtl/>
        </w:rPr>
        <w:t>סעיף 9א(ב) ל</w:t>
      </w:r>
      <w:r w:rsidR="00F52A00" w:rsidRPr="00F52A00">
        <w:rPr>
          <w:rFonts w:ascii="David" w:eastAsia="Calibri" w:hAnsi="David"/>
          <w:b/>
          <w:bCs/>
          <w:rtl/>
        </w:rPr>
        <w:t>פקודת מס הכנסה [נוסח משולב]</w:t>
      </w:r>
      <w:r w:rsidR="00F52A00">
        <w:rPr>
          <w:rFonts w:ascii="David" w:eastAsia="Calibri" w:hAnsi="David" w:hint="cs"/>
          <w:b/>
          <w:bCs/>
          <w:rtl/>
        </w:rPr>
        <w:t>).</w:t>
      </w:r>
    </w:p>
    <w:p w:rsidR="00167BDA" w:rsidRDefault="00167BDA" w:rsidP="00167BDA">
      <w:pPr>
        <w:spacing w:line="360" w:lineRule="auto"/>
        <w:ind w:left="651"/>
        <w:contextualSpacing/>
        <w:jc w:val="both"/>
        <w:rPr>
          <w:rFonts w:ascii="David" w:eastAsia="Calibri" w:hAnsi="David"/>
        </w:rPr>
      </w:pPr>
    </w:p>
    <w:p w:rsidR="00167BDA" w:rsidRDefault="00167BDA" w:rsidP="004F2AF5">
      <w:pPr>
        <w:numPr>
          <w:ilvl w:val="0"/>
          <w:numId w:val="1"/>
        </w:numPr>
        <w:spacing w:after="160" w:line="360" w:lineRule="auto"/>
        <w:ind w:left="651"/>
        <w:contextualSpacing/>
        <w:jc w:val="both"/>
        <w:rPr>
          <w:rFonts w:ascii="David" w:eastAsia="Calibri" w:hAnsi="David"/>
        </w:rPr>
      </w:pPr>
      <w:r>
        <w:rPr>
          <w:rFonts w:ascii="David" w:eastAsia="Calibri" w:hAnsi="David"/>
          <w:b/>
          <w:bCs/>
          <w:rtl/>
        </w:rPr>
        <w:t>התובע</w:t>
      </w:r>
      <w:r>
        <w:rPr>
          <w:rFonts w:ascii="David" w:eastAsia="Calibri" w:hAnsi="David"/>
          <w:rtl/>
        </w:rPr>
        <w:t xml:space="preserve"> כפר בטענה זו, לרבות בסכומים שצוינו במסגרתה, שלדבריו אינם מתיישבים עם נתוני השכר והמענקים הצפויים לו על פי הנתונים שהומצאו. מעבר לכך טען כי מדובר בטענות ספקולטיביות שנעדרות תמיכה וביסוס כדין, אשר נטענו אך ביחס לתובע ולא ביחס לזכויות הנתבעת. לשיטתו, המומחה שלל מפורשות טענה זו וטען כי הפטורים להם טענה הנתבעת הם כפולים וניתן ליהנות מהם או בגמלה או בפיצויים אך לא גם וגם, והמומחה השתמש בפטור לגמלה. לטענתו, המומחה העיד בנוסף כי הפטור של פרישת המענקים לשנים קדימה הוא תיאורטי ותלוי בהכנסות הנוספות שיהיו לתובע וכי ממילא ההפרש בין שני הפטורים הוא קטן (שורות 16-24 עמ' 27 לפרוט'). </w:t>
      </w:r>
    </w:p>
    <w:p w:rsidR="00167BDA" w:rsidRDefault="00167BDA" w:rsidP="00167BDA">
      <w:pPr>
        <w:spacing w:line="254" w:lineRule="auto"/>
        <w:ind w:left="720"/>
        <w:contextualSpacing/>
        <w:rPr>
          <w:rFonts w:ascii="David" w:eastAsia="Calibri" w:hAnsi="David"/>
        </w:rPr>
      </w:pPr>
    </w:p>
    <w:p w:rsidR="00167BDA" w:rsidRDefault="00167BDA" w:rsidP="004F2AF5">
      <w:pPr>
        <w:numPr>
          <w:ilvl w:val="0"/>
          <w:numId w:val="1"/>
        </w:numPr>
        <w:spacing w:after="160" w:line="360" w:lineRule="auto"/>
        <w:ind w:left="651"/>
        <w:contextualSpacing/>
        <w:jc w:val="both"/>
        <w:rPr>
          <w:rFonts w:ascii="David" w:eastAsia="Calibri" w:hAnsi="David"/>
        </w:rPr>
      </w:pPr>
      <w:r>
        <w:rPr>
          <w:rFonts w:ascii="David" w:eastAsia="Calibri" w:hAnsi="David"/>
          <w:b/>
          <w:bCs/>
          <w:rtl/>
        </w:rPr>
        <w:lastRenderedPageBreak/>
        <w:t>עמדת המומחה</w:t>
      </w:r>
      <w:r>
        <w:rPr>
          <w:rFonts w:ascii="David" w:eastAsia="Calibri" w:hAnsi="David"/>
          <w:rtl/>
        </w:rPr>
        <w:t>- בתשובתו לשאלת הבהרה מס' 9 הבהיר המומחה את סוגי המס האפשריים במקרה דנן על פי פקודת מס הכנסה וציין כי "</w:t>
      </w:r>
      <w:r>
        <w:rPr>
          <w:rFonts w:ascii="David" w:eastAsia="Calibri" w:hAnsi="David"/>
          <w:b/>
          <w:bCs/>
          <w:rtl/>
        </w:rPr>
        <w:t>כל ההנחות בנתוני השאלה כאילו יקבל הבעל פטור ממס גם על הקצבה וגם על חלק מהמענקים - הינם טעות</w:t>
      </w:r>
      <w:r>
        <w:rPr>
          <w:rFonts w:ascii="David" w:eastAsia="Calibri" w:hAnsi="David"/>
          <w:rtl/>
        </w:rPr>
        <w:t>". המומחה הבהיר כי לא ניתן להשתמש בפטור הן לעניין הגמלה והן לעניין המענקים, ועל כן בחוות דעתו הוא ייחס את הטבת המס לגמלה</w:t>
      </w:r>
      <w:r w:rsidR="0076725E">
        <w:rPr>
          <w:rFonts w:ascii="David" w:eastAsia="Calibri" w:hAnsi="David" w:hint="cs"/>
          <w:rtl/>
        </w:rPr>
        <w:t xml:space="preserve">, </w:t>
      </w:r>
      <w:r>
        <w:rPr>
          <w:rFonts w:ascii="David" w:eastAsia="Calibri" w:hAnsi="David"/>
          <w:rtl/>
        </w:rPr>
        <w:t xml:space="preserve"> כאשר בחישוביו </w:t>
      </w:r>
      <w:r w:rsidR="0076725E">
        <w:rPr>
          <w:rFonts w:ascii="David" w:eastAsia="Calibri" w:hAnsi="David" w:hint="cs"/>
          <w:rtl/>
        </w:rPr>
        <w:t xml:space="preserve">ניכה </w:t>
      </w:r>
      <w:r>
        <w:rPr>
          <w:rFonts w:ascii="David" w:eastAsia="Calibri" w:hAnsi="David"/>
          <w:rtl/>
        </w:rPr>
        <w:t>מס בשיעור 7% בלבד על הגמלה, ועל כן  לא ניתן להשתמש בפטור גם לעניין המענקים: "</w:t>
      </w:r>
      <w:r>
        <w:rPr>
          <w:rFonts w:ascii="David" w:eastAsia="Calibri" w:hAnsi="David"/>
          <w:b/>
          <w:bCs/>
          <w:rtl/>
        </w:rPr>
        <w:t>במצב זה יחוייב הבעל במיסוי מלא על המענקים וינוכה ממנו מס במקור בשיעור מקסימלי וכך קבעתי מס בשיעור 45%".</w:t>
      </w:r>
    </w:p>
    <w:p w:rsidR="00167BDA" w:rsidRDefault="00167BDA" w:rsidP="00167BDA">
      <w:pPr>
        <w:ind w:left="720"/>
        <w:contextualSpacing/>
        <w:rPr>
          <w:rFonts w:ascii="David" w:eastAsia="Calibri" w:hAnsi="David"/>
          <w:b/>
          <w:bCs/>
        </w:rPr>
      </w:pPr>
    </w:p>
    <w:p w:rsidR="00167BDA" w:rsidRDefault="00167BDA" w:rsidP="004F2AF5">
      <w:pPr>
        <w:numPr>
          <w:ilvl w:val="0"/>
          <w:numId w:val="1"/>
        </w:numPr>
        <w:spacing w:after="160" w:line="360" w:lineRule="auto"/>
        <w:ind w:left="651"/>
        <w:contextualSpacing/>
        <w:jc w:val="both"/>
        <w:rPr>
          <w:rFonts w:ascii="David" w:eastAsia="Calibri" w:hAnsi="David"/>
          <w:rtl/>
        </w:rPr>
      </w:pPr>
      <w:r>
        <w:rPr>
          <w:rFonts w:ascii="David" w:eastAsia="Calibri" w:hAnsi="David"/>
          <w:rtl/>
        </w:rPr>
        <w:t>לעניין האפשרות לפריסת המענקים לשנים קדימה וקבלת החזר טען המומחה כי עניין זה</w:t>
      </w:r>
      <w:r>
        <w:rPr>
          <w:rFonts w:ascii="David" w:eastAsia="Calibri" w:hAnsi="David"/>
          <w:b/>
          <w:bCs/>
          <w:rtl/>
        </w:rPr>
        <w:t xml:space="preserve"> "הינו תאורטי ותלוי בשיעור המס השולי של הבעל מהכנסות אחרות</w:t>
      </w:r>
      <w:r>
        <w:rPr>
          <w:rFonts w:ascii="David" w:eastAsia="Calibri" w:hAnsi="David"/>
          <w:rtl/>
        </w:rPr>
        <w:t>".</w:t>
      </w:r>
    </w:p>
    <w:p w:rsidR="00167BDA" w:rsidRDefault="00167BDA" w:rsidP="00167BDA">
      <w:pPr>
        <w:spacing w:line="254" w:lineRule="auto"/>
        <w:ind w:left="720"/>
        <w:contextualSpacing/>
        <w:rPr>
          <w:rFonts w:ascii="David" w:eastAsia="Calibri" w:hAnsi="David"/>
          <w:rtl/>
        </w:rPr>
      </w:pPr>
    </w:p>
    <w:p w:rsidR="00167BDA" w:rsidRDefault="00167BDA" w:rsidP="004F2AF5">
      <w:pPr>
        <w:numPr>
          <w:ilvl w:val="0"/>
          <w:numId w:val="1"/>
        </w:numPr>
        <w:spacing w:after="160" w:line="360" w:lineRule="auto"/>
        <w:ind w:left="651"/>
        <w:contextualSpacing/>
        <w:jc w:val="both"/>
        <w:rPr>
          <w:rFonts w:ascii="David" w:eastAsia="Calibri" w:hAnsi="David"/>
        </w:rPr>
      </w:pPr>
      <w:r>
        <w:rPr>
          <w:rFonts w:ascii="David" w:eastAsia="Calibri" w:hAnsi="David"/>
          <w:rtl/>
        </w:rPr>
        <w:t>בחקירתו אישר המומחה כי מי שפורש לפנסיה יש לו זכות לפרוס את המענקים של 6 שנים קדימה (שורות 33-34 עמ' 26 לפרוט); כאשר נשאל מדוע לא התחשב באפשרות הזו העיד כי "</w:t>
      </w:r>
      <w:r>
        <w:rPr>
          <w:rFonts w:ascii="David" w:eastAsia="Calibri" w:hAnsi="David"/>
          <w:b/>
          <w:bCs/>
          <w:rtl/>
        </w:rPr>
        <w:t>בפועל ינכו לתובע מהסכום המתקבל 45% מס במקור כך חישבתי. ישנה אפשרות של פריסה קדימה תלוי אם יש לו הכנסות אחרות בשיעורי המס שיהיו לו בפועל</w:t>
      </w:r>
      <w:r>
        <w:rPr>
          <w:rFonts w:ascii="David" w:eastAsia="Calibri" w:hAnsi="David"/>
          <w:rtl/>
        </w:rPr>
        <w:t xml:space="preserve">" (שורות 1-2 עמ' 27 לפרוט'); </w:t>
      </w:r>
    </w:p>
    <w:p w:rsidR="00167BDA" w:rsidRDefault="00167BDA" w:rsidP="00167BDA">
      <w:pPr>
        <w:ind w:left="720"/>
        <w:contextualSpacing/>
        <w:rPr>
          <w:rFonts w:ascii="David" w:eastAsia="Calibri" w:hAnsi="David"/>
        </w:rPr>
      </w:pPr>
    </w:p>
    <w:p w:rsidR="00167BDA" w:rsidRDefault="00167BDA" w:rsidP="004F2AF5">
      <w:pPr>
        <w:numPr>
          <w:ilvl w:val="0"/>
          <w:numId w:val="1"/>
        </w:numPr>
        <w:spacing w:after="160" w:line="360" w:lineRule="auto"/>
        <w:ind w:left="651"/>
        <w:contextualSpacing/>
        <w:jc w:val="both"/>
        <w:rPr>
          <w:rFonts w:ascii="David" w:eastAsia="Calibri" w:hAnsi="David"/>
          <w:rtl/>
        </w:rPr>
      </w:pPr>
      <w:r>
        <w:rPr>
          <w:rFonts w:ascii="David" w:eastAsia="Calibri" w:hAnsi="David"/>
          <w:rtl/>
        </w:rPr>
        <w:t>באשר להנחות ששימשו אותו לצורך חישוביו הבהיר בעדותו כי "</w:t>
      </w:r>
      <w:r w:rsidRPr="006966A0">
        <w:rPr>
          <w:rFonts w:ascii="David" w:eastAsia="Calibri" w:hAnsi="David"/>
          <w:b/>
          <w:bCs/>
          <w:rtl/>
        </w:rPr>
        <w:t>הנחה שלי טיפה שונה. של מיסוי פרוגרסיבי, נכס שיש לבעל אחרי מועד הקרע ולא בטוח שהוא צריך תקופה אחרי הקרע לשתף את האישה. יש כאן אי וודאות אם הוא יגיש פריסה קדימה וישנה אפשרות תיאורטית שהוא יכול לקבל, ששיעור המס יהיה נמוך יותר</w:t>
      </w:r>
      <w:r>
        <w:rPr>
          <w:rFonts w:ascii="David" w:eastAsia="Calibri" w:hAnsi="David"/>
          <w:rtl/>
        </w:rPr>
        <w:t xml:space="preserve">" (שורות 5-7 עמ' 27 לפרוט'); </w:t>
      </w:r>
    </w:p>
    <w:p w:rsidR="00167BDA" w:rsidRDefault="00167BDA" w:rsidP="00167BDA">
      <w:pPr>
        <w:ind w:left="720"/>
        <w:contextualSpacing/>
        <w:rPr>
          <w:rFonts w:ascii="David" w:eastAsia="Calibri" w:hAnsi="David"/>
        </w:rPr>
      </w:pPr>
    </w:p>
    <w:p w:rsidR="00167BDA" w:rsidRDefault="00167BDA" w:rsidP="004F2AF5">
      <w:pPr>
        <w:numPr>
          <w:ilvl w:val="0"/>
          <w:numId w:val="1"/>
        </w:numPr>
        <w:spacing w:after="160" w:line="360" w:lineRule="auto"/>
        <w:ind w:left="651" w:hanging="368"/>
        <w:contextualSpacing/>
        <w:jc w:val="both"/>
        <w:rPr>
          <w:rFonts w:ascii="David" w:eastAsia="Calibri" w:hAnsi="David"/>
          <w:rtl/>
        </w:rPr>
      </w:pPr>
      <w:r>
        <w:rPr>
          <w:rFonts w:ascii="David" w:eastAsia="Calibri" w:hAnsi="David"/>
          <w:rtl/>
        </w:rPr>
        <w:lastRenderedPageBreak/>
        <w:t>לשאלת בית המשפט הבהיר המומחה כי "</w:t>
      </w:r>
      <w:r w:rsidRPr="006966A0">
        <w:rPr>
          <w:rFonts w:ascii="David" w:eastAsia="Calibri" w:hAnsi="David"/>
          <w:b/>
          <w:bCs/>
          <w:rtl/>
        </w:rPr>
        <w:t>שיעורי המס הם משתנים כיוון שיש פטור מקסימאלי של 67% מתקרת קצבה מזכה ומקבלים תוספת מדי חודש, מדברים על עשרות אלפי שקלים, אם תהיה פריסה של המס ל-6 שנים ולא יופחת המס. מדברים על מענקים של סך הכל 670,000 ₪ ואם מנוכה מהם מס, זה סכום גבוה ואילו אם יהיה פטור מלוא הסכום יכלל באיזון</w:t>
      </w:r>
      <w:r>
        <w:rPr>
          <w:rFonts w:ascii="David" w:eastAsia="Calibri" w:hAnsi="David"/>
          <w:rtl/>
        </w:rPr>
        <w:t xml:space="preserve">" (שורות 11-14 עמ' 27 לפרוט'); </w:t>
      </w:r>
    </w:p>
    <w:p w:rsidR="00167BDA" w:rsidRDefault="00167BDA" w:rsidP="00167BDA">
      <w:pPr>
        <w:spacing w:after="160" w:line="360" w:lineRule="auto"/>
        <w:ind w:left="651"/>
        <w:contextualSpacing/>
        <w:jc w:val="both"/>
        <w:rPr>
          <w:rFonts w:ascii="David" w:eastAsia="Calibri" w:hAnsi="David"/>
        </w:rPr>
      </w:pPr>
    </w:p>
    <w:p w:rsidR="00167BDA" w:rsidRDefault="00167BDA" w:rsidP="004F2AF5">
      <w:pPr>
        <w:numPr>
          <w:ilvl w:val="0"/>
          <w:numId w:val="1"/>
        </w:numPr>
        <w:spacing w:after="160" w:line="360" w:lineRule="auto"/>
        <w:ind w:left="651"/>
        <w:contextualSpacing/>
        <w:jc w:val="both"/>
        <w:rPr>
          <w:rFonts w:ascii="David" w:eastAsia="Calibri" w:hAnsi="David"/>
          <w:rtl/>
        </w:rPr>
      </w:pPr>
      <w:r>
        <w:rPr>
          <w:rFonts w:ascii="David" w:eastAsia="Calibri" w:hAnsi="David"/>
          <w:rtl/>
        </w:rPr>
        <w:t xml:space="preserve">יחד עם זאת שב והבהיר המומחה כי " </w:t>
      </w:r>
      <w:r w:rsidRPr="006966A0">
        <w:rPr>
          <w:rFonts w:ascii="David" w:eastAsia="Calibri" w:hAnsi="David"/>
          <w:b/>
          <w:bCs/>
          <w:rtl/>
        </w:rPr>
        <w:t>הפער בין ניכוי המס במקור כפי שנהגתי לבין פריסה ל-6 שנים, יכול להיות הבדל אבל לא המוצע כאן. השתמשתי "בקופסת הפטורים" לחישוב המס על הגמלה. אפשר להשתמש בקופסת הפטורים או גמלה או בפיצויים, אם משתמשים באחד הרכיבים ואני השתמשתי בקופסת הפטורים בגמלה, אי אפשר להשתמש בזה עוד פעם בפטורים בפיצוי. זה נכון שיכול להיות הפרש לדעתי קטן, אם הבעל יפרוס קדימה ולא יהיו לו הכנסות נוספות</w:t>
      </w:r>
      <w:r>
        <w:rPr>
          <w:rFonts w:ascii="David" w:eastAsia="Calibri" w:hAnsi="David"/>
          <w:rtl/>
        </w:rPr>
        <w:t>" (שורות 16-20 עמ' 27 לפרוט').</w:t>
      </w:r>
    </w:p>
    <w:p w:rsidR="00167BDA" w:rsidRDefault="00167BDA" w:rsidP="00167BDA">
      <w:pPr>
        <w:spacing w:line="360" w:lineRule="auto"/>
        <w:ind w:left="651"/>
        <w:contextualSpacing/>
        <w:jc w:val="both"/>
        <w:rPr>
          <w:rFonts w:ascii="David" w:eastAsia="Calibri" w:hAnsi="David"/>
          <w:rtl/>
        </w:rPr>
      </w:pPr>
    </w:p>
    <w:p w:rsidR="0076725E" w:rsidRPr="000300A6" w:rsidRDefault="0076725E" w:rsidP="000300A6">
      <w:pPr>
        <w:numPr>
          <w:ilvl w:val="0"/>
          <w:numId w:val="1"/>
        </w:numPr>
        <w:spacing w:after="160" w:line="360" w:lineRule="auto"/>
        <w:ind w:left="651"/>
        <w:contextualSpacing/>
        <w:jc w:val="both"/>
        <w:rPr>
          <w:rFonts w:ascii="David" w:eastAsia="Calibri" w:hAnsi="David"/>
        </w:rPr>
      </w:pPr>
      <w:r w:rsidRPr="000300A6">
        <w:rPr>
          <w:rFonts w:ascii="David" w:eastAsia="Calibri" w:hAnsi="David" w:hint="cs"/>
          <w:rtl/>
        </w:rPr>
        <w:t xml:space="preserve">עוד ציין </w:t>
      </w:r>
      <w:r w:rsidRPr="000300A6">
        <w:rPr>
          <w:rFonts w:ascii="David" w:eastAsia="Calibri" w:hAnsi="David"/>
          <w:rtl/>
        </w:rPr>
        <w:t xml:space="preserve">המומחה כי בחר להשתמש בפטור לצורך חישוב המס על הגמלה, ולפיכך לא ניתן להשתמש בפטור על המענקים, וזאת לטענתו כי המיסוי מיטיב בבוחר בפטור מקצבה (ראו תשובתו לשאלה </w:t>
      </w:r>
      <w:r w:rsidR="009A425E" w:rsidRPr="000300A6">
        <w:rPr>
          <w:rFonts w:ascii="David" w:eastAsia="Calibri" w:hAnsi="David"/>
          <w:rtl/>
        </w:rPr>
        <w:t>מס' 9 בשאלות ההבהרה של התובעת</w:t>
      </w:r>
      <w:r w:rsidR="009A425E" w:rsidRPr="000300A6">
        <w:rPr>
          <w:rFonts w:ascii="David" w:eastAsia="Calibri" w:hAnsi="David" w:hint="cs"/>
          <w:rtl/>
        </w:rPr>
        <w:t>); אלא ש</w:t>
      </w:r>
      <w:r w:rsidRPr="000300A6">
        <w:rPr>
          <w:rFonts w:ascii="David" w:eastAsia="Calibri" w:hAnsi="David"/>
          <w:rtl/>
        </w:rPr>
        <w:t xml:space="preserve">לא </w:t>
      </w:r>
      <w:r w:rsidR="009A425E" w:rsidRPr="000300A6">
        <w:rPr>
          <w:rFonts w:ascii="David" w:eastAsia="Calibri" w:hAnsi="David" w:hint="cs"/>
          <w:rtl/>
        </w:rPr>
        <w:t>מצאתי כי המומחה הבהיר במידה מספקת</w:t>
      </w:r>
      <w:r w:rsidRPr="000300A6">
        <w:rPr>
          <w:rFonts w:ascii="David" w:eastAsia="Calibri" w:hAnsi="David"/>
          <w:rtl/>
        </w:rPr>
        <w:t xml:space="preserve"> </w:t>
      </w:r>
      <w:r w:rsidR="000300A6">
        <w:rPr>
          <w:rFonts w:ascii="David" w:eastAsia="Calibri" w:hAnsi="David" w:hint="cs"/>
          <w:rtl/>
        </w:rPr>
        <w:t>סוגייה זו, וכן סוגיית פריסת המס ל-6 שנים והאם היא רלוונטית בענייננו.</w:t>
      </w:r>
    </w:p>
    <w:p w:rsidR="0076725E" w:rsidRPr="000300A6" w:rsidRDefault="0076725E" w:rsidP="0076725E">
      <w:pPr>
        <w:pStyle w:val="ad"/>
        <w:rPr>
          <w:rFonts w:ascii="David" w:eastAsia="Calibri" w:hAnsi="David"/>
          <w:highlight w:val="yellow"/>
          <w:rtl/>
        </w:rPr>
      </w:pPr>
    </w:p>
    <w:p w:rsidR="00167BDA" w:rsidRPr="0076725E" w:rsidRDefault="00167BDA" w:rsidP="004F2AF5">
      <w:pPr>
        <w:numPr>
          <w:ilvl w:val="0"/>
          <w:numId w:val="1"/>
        </w:numPr>
        <w:spacing w:after="160" w:line="360" w:lineRule="auto"/>
        <w:ind w:left="651"/>
        <w:contextualSpacing/>
        <w:jc w:val="both"/>
        <w:rPr>
          <w:rFonts w:ascii="David" w:eastAsia="Calibri" w:hAnsi="David"/>
          <w:b/>
          <w:bCs/>
        </w:rPr>
      </w:pPr>
      <w:r w:rsidRPr="0076725E">
        <w:rPr>
          <w:rFonts w:ascii="David" w:eastAsia="Calibri" w:hAnsi="David"/>
          <w:b/>
          <w:bCs/>
          <w:rtl/>
        </w:rPr>
        <w:lastRenderedPageBreak/>
        <w:t>לאחר עיון בטענות הצדדים ובעמדת המומחה, עולה כי ישנן מספר אפשרויות לקבלת פטורים, בין על הקצבה ובין על המענקים, אשר המשמעות המספרית שלהן עשוייה להיות שונה, אולם היא לא הובהרה לפני כדבעי</w:t>
      </w:r>
      <w:r w:rsidR="006E2C7A">
        <w:rPr>
          <w:rFonts w:ascii="David" w:eastAsia="Calibri" w:hAnsi="David" w:hint="cs"/>
          <w:b/>
          <w:bCs/>
          <w:rtl/>
        </w:rPr>
        <w:t>, ולא ברור האם החלופות השונות אכן נבחנו</w:t>
      </w:r>
      <w:r w:rsidR="000300A6">
        <w:rPr>
          <w:rFonts w:ascii="David" w:eastAsia="Calibri" w:hAnsi="David" w:hint="cs"/>
          <w:b/>
          <w:bCs/>
          <w:rtl/>
        </w:rPr>
        <w:t xml:space="preserve"> ומה המשמעות הכלכלית שלהן</w:t>
      </w:r>
      <w:r w:rsidRPr="0076725E">
        <w:rPr>
          <w:rFonts w:ascii="David" w:eastAsia="Calibri" w:hAnsi="David"/>
          <w:b/>
          <w:bCs/>
          <w:rtl/>
        </w:rPr>
        <w:t>.</w:t>
      </w:r>
    </w:p>
    <w:p w:rsidR="00167BDA" w:rsidRPr="000300A6" w:rsidRDefault="00167BDA" w:rsidP="00167BDA">
      <w:pPr>
        <w:ind w:left="720"/>
        <w:contextualSpacing/>
        <w:rPr>
          <w:rFonts w:ascii="David" w:eastAsia="Calibri" w:hAnsi="David"/>
        </w:rPr>
      </w:pPr>
    </w:p>
    <w:p w:rsidR="00167BDA" w:rsidRPr="0076725E" w:rsidRDefault="00167BDA" w:rsidP="004F2AF5">
      <w:pPr>
        <w:numPr>
          <w:ilvl w:val="0"/>
          <w:numId w:val="1"/>
        </w:numPr>
        <w:spacing w:after="160" w:line="360" w:lineRule="auto"/>
        <w:ind w:hanging="437"/>
        <w:contextualSpacing/>
        <w:jc w:val="both"/>
        <w:rPr>
          <w:rFonts w:ascii="David" w:eastAsia="Calibri" w:hAnsi="David"/>
          <w:rtl/>
        </w:rPr>
      </w:pPr>
      <w:r w:rsidRPr="0076725E">
        <w:rPr>
          <w:rFonts w:ascii="David" w:eastAsia="Calibri" w:hAnsi="David"/>
          <w:rtl/>
        </w:rPr>
        <w:t xml:space="preserve">לאור האמור, </w:t>
      </w:r>
      <w:r w:rsidRPr="00386C46">
        <w:rPr>
          <w:rFonts w:ascii="David" w:eastAsia="Calibri" w:hAnsi="David"/>
          <w:b/>
          <w:bCs/>
          <w:rtl/>
        </w:rPr>
        <w:t>מתבקשת השלמת המומחה ביחס לסוגיית המס</w:t>
      </w:r>
      <w:r w:rsidR="002728FE">
        <w:rPr>
          <w:rFonts w:ascii="David" w:eastAsia="Calibri" w:hAnsi="David" w:hint="cs"/>
          <w:rtl/>
        </w:rPr>
        <w:t>, תחת הנחות של משיכה מושכלת והקטנת חב</w:t>
      </w:r>
      <w:r w:rsidR="006E2C7A">
        <w:rPr>
          <w:rFonts w:ascii="David" w:eastAsia="Calibri" w:hAnsi="David" w:hint="cs"/>
          <w:rtl/>
        </w:rPr>
        <w:t>ו</w:t>
      </w:r>
      <w:r w:rsidR="002728FE">
        <w:rPr>
          <w:rFonts w:ascii="David" w:eastAsia="Calibri" w:hAnsi="David" w:hint="cs"/>
          <w:rtl/>
        </w:rPr>
        <w:t>ת המס בפרישה</w:t>
      </w:r>
      <w:r w:rsidR="009A425E">
        <w:rPr>
          <w:rFonts w:ascii="David" w:eastAsia="Calibri" w:hAnsi="David" w:hint="cs"/>
          <w:rtl/>
        </w:rPr>
        <w:t xml:space="preserve"> </w:t>
      </w:r>
      <w:r w:rsidR="0041189B">
        <w:rPr>
          <w:rFonts w:ascii="David" w:eastAsia="Calibri" w:hAnsi="David" w:hint="cs"/>
          <w:rtl/>
        </w:rPr>
        <w:t>-</w:t>
      </w:r>
      <w:r w:rsidRPr="0076725E">
        <w:rPr>
          <w:rFonts w:ascii="David" w:eastAsia="Calibri" w:hAnsi="David"/>
          <w:rtl/>
        </w:rPr>
        <w:t xml:space="preserve"> המומחה מתבקש להבהיר מהן האפשרויות העומדות בפני הצדדים לקבלת פטור בכל אחת מהאפשרויות שהוזכרו - בחירה בפטור על הגמלה אל מול בחירה בפטור על המענקים</w:t>
      </w:r>
      <w:r w:rsidR="006966A0">
        <w:rPr>
          <w:rFonts w:ascii="David" w:eastAsia="Calibri" w:hAnsi="David" w:hint="cs"/>
          <w:rtl/>
        </w:rPr>
        <w:t>, מה שיעור המס בכל אחת מהאפש</w:t>
      </w:r>
      <w:r w:rsidR="0076725E" w:rsidRPr="0076725E">
        <w:rPr>
          <w:rFonts w:ascii="David" w:eastAsia="Calibri" w:hAnsi="David" w:hint="cs"/>
          <w:rtl/>
        </w:rPr>
        <w:t>ר</w:t>
      </w:r>
      <w:r w:rsidR="006966A0">
        <w:rPr>
          <w:rFonts w:ascii="David" w:eastAsia="Calibri" w:hAnsi="David" w:hint="cs"/>
          <w:rtl/>
        </w:rPr>
        <w:t>ו</w:t>
      </w:r>
      <w:r w:rsidR="0076725E" w:rsidRPr="0076725E">
        <w:rPr>
          <w:rFonts w:ascii="David" w:eastAsia="Calibri" w:hAnsi="David" w:hint="cs"/>
          <w:rtl/>
        </w:rPr>
        <w:t>יות</w:t>
      </w:r>
      <w:r w:rsidRPr="0076725E">
        <w:rPr>
          <w:rFonts w:ascii="David" w:eastAsia="Calibri" w:hAnsi="David"/>
          <w:rtl/>
        </w:rPr>
        <w:t xml:space="preserve"> </w:t>
      </w:r>
      <w:r w:rsidR="0076725E">
        <w:rPr>
          <w:rFonts w:ascii="David" w:eastAsia="Calibri" w:hAnsi="David" w:hint="cs"/>
          <w:rtl/>
        </w:rPr>
        <w:t>וזאת בין היתר בשים לב ל</w:t>
      </w:r>
      <w:r w:rsidR="0076725E" w:rsidRPr="0076725E">
        <w:rPr>
          <w:rFonts w:ascii="David" w:eastAsia="Calibri" w:hAnsi="David"/>
          <w:rtl/>
        </w:rPr>
        <w:t>סעיף 9א(ב) לפקודת מס הכנסה [נוסח משולב]</w:t>
      </w:r>
      <w:r w:rsidR="0076725E">
        <w:rPr>
          <w:rFonts w:ascii="David" w:eastAsia="Calibri" w:hAnsi="David" w:hint="cs"/>
          <w:rtl/>
        </w:rPr>
        <w:t xml:space="preserve">, וכן יבהיר </w:t>
      </w:r>
      <w:r w:rsidRPr="0076725E">
        <w:rPr>
          <w:rFonts w:ascii="David" w:eastAsia="Calibri" w:hAnsi="David"/>
          <w:rtl/>
        </w:rPr>
        <w:t>ההשלכה שיש לפריסת המענקים או חלקם  ל-6 שנים, ככל שישנה</w:t>
      </w:r>
      <w:r w:rsidR="006966A0">
        <w:rPr>
          <w:rFonts w:ascii="David" w:eastAsia="Calibri" w:hAnsi="David" w:hint="cs"/>
          <w:rtl/>
        </w:rPr>
        <w:t>,</w:t>
      </w:r>
      <w:r w:rsidR="0076725E">
        <w:rPr>
          <w:rFonts w:ascii="David" w:eastAsia="Calibri" w:hAnsi="David" w:hint="cs"/>
          <w:rtl/>
        </w:rPr>
        <w:t xml:space="preserve"> וככל שהיא אפשרית</w:t>
      </w:r>
      <w:r w:rsidR="006966A0">
        <w:rPr>
          <w:rFonts w:ascii="David" w:eastAsia="Calibri" w:hAnsi="David" w:hint="cs"/>
          <w:rtl/>
        </w:rPr>
        <w:t xml:space="preserve"> </w:t>
      </w:r>
      <w:r w:rsidR="006966A0" w:rsidRPr="00A67C4E">
        <w:rPr>
          <w:rFonts w:ascii="David" w:eastAsia="Calibri" w:hAnsi="David" w:hint="cs"/>
          <w:rtl/>
        </w:rPr>
        <w:t>באילו נסיבות או תנאים היא תלויה</w:t>
      </w:r>
      <w:r w:rsidRPr="0076725E">
        <w:rPr>
          <w:rFonts w:ascii="David" w:eastAsia="Calibri" w:hAnsi="David"/>
          <w:rtl/>
        </w:rPr>
        <w:t>. המומחה מתבקש לפרט את המשמעות הכלכלית של כל אחת מהאפשרויות האמורות הן ביחס לזכויות הנתבעת והן ביחס לזכויות התובע.</w:t>
      </w:r>
    </w:p>
    <w:p w:rsidR="00167BDA" w:rsidRPr="0076725E" w:rsidRDefault="00167BDA" w:rsidP="00167BDA">
      <w:pPr>
        <w:ind w:left="720"/>
        <w:contextualSpacing/>
        <w:rPr>
          <w:rFonts w:ascii="David" w:eastAsia="Calibri" w:hAnsi="David"/>
        </w:rPr>
      </w:pPr>
    </w:p>
    <w:p w:rsidR="00167BDA" w:rsidRDefault="00167BDA" w:rsidP="004F2AF5">
      <w:pPr>
        <w:numPr>
          <w:ilvl w:val="0"/>
          <w:numId w:val="1"/>
        </w:numPr>
        <w:spacing w:after="160" w:line="360" w:lineRule="auto"/>
        <w:ind w:left="651"/>
        <w:contextualSpacing/>
        <w:jc w:val="both"/>
        <w:rPr>
          <w:rFonts w:ascii="David" w:eastAsia="Calibri" w:hAnsi="David"/>
        </w:rPr>
      </w:pPr>
      <w:r w:rsidRPr="006966A0">
        <w:rPr>
          <w:rFonts w:ascii="David" w:eastAsia="Calibri" w:hAnsi="David"/>
          <w:rtl/>
        </w:rPr>
        <w:t>המומחה מתבקש להבהיר מהי לדעתו חלופת הפטור המיטיבית, שאינ</w:t>
      </w:r>
      <w:r w:rsidR="006966A0">
        <w:rPr>
          <w:rFonts w:ascii="David" w:eastAsia="Calibri" w:hAnsi="David"/>
          <w:rtl/>
        </w:rPr>
        <w:t>ה גורעת מזכויותיו של הזכאי לחלק</w:t>
      </w:r>
      <w:r w:rsidRPr="006966A0">
        <w:rPr>
          <w:rFonts w:ascii="David" w:eastAsia="Calibri" w:hAnsi="David"/>
          <w:rtl/>
        </w:rPr>
        <w:t xml:space="preserve"> בזכות </w:t>
      </w:r>
      <w:r w:rsidR="00386C46">
        <w:rPr>
          <w:rFonts w:ascii="David" w:eastAsia="Calibri" w:hAnsi="David" w:hint="cs"/>
          <w:rtl/>
        </w:rPr>
        <w:t xml:space="preserve">הפנסיה </w:t>
      </w:r>
      <w:r w:rsidRPr="006966A0">
        <w:rPr>
          <w:rFonts w:ascii="David" w:eastAsia="Calibri" w:hAnsi="David"/>
          <w:rtl/>
        </w:rPr>
        <w:t>של בן הזוג.</w:t>
      </w:r>
      <w:r w:rsidR="006966A0" w:rsidRPr="006966A0">
        <w:rPr>
          <w:rFonts w:ascii="David" w:eastAsia="Calibri" w:hAnsi="David" w:hint="cs"/>
          <w:rtl/>
        </w:rPr>
        <w:t xml:space="preserve"> </w:t>
      </w:r>
    </w:p>
    <w:p w:rsidR="0068172B" w:rsidRDefault="0068172B" w:rsidP="001956B0">
      <w:pPr>
        <w:spacing w:after="160" w:line="256" w:lineRule="auto"/>
        <w:rPr>
          <w:rFonts w:ascii="David" w:eastAsia="Calibri" w:hAnsi="David"/>
          <w:b/>
          <w:bCs/>
          <w:noProof w:val="0"/>
          <w:sz w:val="26"/>
          <w:szCs w:val="26"/>
          <w:rtl/>
        </w:rPr>
      </w:pPr>
    </w:p>
    <w:p w:rsidR="001956B0" w:rsidRPr="0076725E" w:rsidRDefault="001956B0" w:rsidP="001956B0">
      <w:pPr>
        <w:spacing w:after="160" w:line="256" w:lineRule="auto"/>
        <w:rPr>
          <w:rFonts w:ascii="David" w:eastAsia="Calibri" w:hAnsi="David"/>
          <w:b/>
          <w:bCs/>
          <w:noProof w:val="0"/>
          <w:sz w:val="26"/>
          <w:szCs w:val="26"/>
          <w:rtl/>
        </w:rPr>
      </w:pPr>
      <w:r w:rsidRPr="0076725E">
        <w:rPr>
          <w:rFonts w:ascii="David" w:eastAsia="Calibri" w:hAnsi="David"/>
          <w:b/>
          <w:bCs/>
          <w:noProof w:val="0"/>
          <w:sz w:val="26"/>
          <w:szCs w:val="26"/>
          <w:rtl/>
        </w:rPr>
        <w:t>קופת גמל מיטב ד"ש של התובע</w:t>
      </w:r>
    </w:p>
    <w:p w:rsidR="001956B0" w:rsidRPr="001956B0" w:rsidRDefault="001956B0" w:rsidP="001956B0">
      <w:pPr>
        <w:spacing w:after="160" w:line="256" w:lineRule="auto"/>
        <w:rPr>
          <w:rFonts w:ascii="David" w:eastAsia="Calibri" w:hAnsi="David"/>
          <w:b/>
          <w:bCs/>
          <w:noProof w:val="0"/>
          <w:rtl/>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lastRenderedPageBreak/>
        <w:t xml:space="preserve">בנוגע לקופת גמל מיטב ד"ש טענה הנתבעת כי בחווה"ד נכתב כי לא הומצא מסמך בגינה ולפיכך עתרה להורות לתובע להמציא למומחה דו"ח או ייפוי כוח לבדיקה ולהורות למומחה לערוך חישוב מדויק לגבי קופה זו </w:t>
      </w:r>
      <w:r w:rsidR="00C57F46">
        <w:rPr>
          <w:rFonts w:ascii="David" w:eastAsia="Calibri" w:hAnsi="David" w:hint="cs"/>
          <w:noProof w:val="0"/>
          <w:rtl/>
        </w:rPr>
        <w:t>ב</w:t>
      </w:r>
      <w:r w:rsidRPr="001956B0">
        <w:rPr>
          <w:rFonts w:ascii="David" w:eastAsia="Calibri" w:hAnsi="David"/>
          <w:noProof w:val="0"/>
          <w:rtl/>
        </w:rPr>
        <w:t>ערכי תאריך הגשת חוות דעתו המתוקנת.</w:t>
      </w:r>
    </w:p>
    <w:p w:rsidR="001956B0" w:rsidRPr="001956B0" w:rsidRDefault="001956B0" w:rsidP="001956B0">
      <w:pPr>
        <w:spacing w:line="360" w:lineRule="auto"/>
        <w:ind w:left="651"/>
        <w:contextualSpacing/>
        <w:jc w:val="both"/>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noProof w:val="0"/>
          <w:rtl/>
        </w:rPr>
        <w:t>התובע טען  כי הוא לא איתר אסמכת</w:t>
      </w:r>
      <w:r w:rsidR="00C57F46">
        <w:rPr>
          <w:rFonts w:ascii="David" w:eastAsia="Calibri" w:hAnsi="David" w:hint="cs"/>
          <w:noProof w:val="0"/>
          <w:rtl/>
        </w:rPr>
        <w:t>ה</w:t>
      </w:r>
      <w:r w:rsidRPr="001956B0">
        <w:rPr>
          <w:rFonts w:ascii="David" w:eastAsia="Calibri" w:hAnsi="David"/>
          <w:noProof w:val="0"/>
          <w:rtl/>
        </w:rPr>
        <w:t xml:space="preserve"> על קופה זו, אולם קיומה לא הוסתר על ידו והוא הצהיר עליה במסגרת כתב תביעתו (סעיף 17ה') ובתצהירו הרכושי (סעיף 10), כפי שנמסר למומחה. הנתבעת יכלה לעתור לצו גילוי מידע, אך במקום זה היא באה בטענות למומחה ולתובע ומבקשת בשלב הסיכומים ולאחר שחדלה משך כל ההליך המתנהל מחודש ספטמבר 2019- לעתור לצו גילוי. לו היתה עותרת לצו גילוי בעת הראויה לכך בוודאי שלא היתה לו כל התנגדות לכך אולם כעת על התיק להסתיים ועל האיזון בין הצדדים להתבצע לאלתר מבלי לאפשר לנתבעת ליצור סחבת נוספת. לשיטת התובע הנתבעת אף יוצאת נשכרת מעצם אי קיום המידע על שווי הזכות במועד הקובע מהסיבות שפורטו בסעיף 98 לסיכומיו.</w:t>
      </w:r>
    </w:p>
    <w:p w:rsidR="001956B0" w:rsidRPr="001956B0" w:rsidRDefault="001956B0" w:rsidP="001956B0">
      <w:pPr>
        <w:spacing w:after="160" w:line="256" w:lineRule="auto"/>
        <w:ind w:left="720"/>
        <w:contextualSpacing/>
        <w:rPr>
          <w:rFonts w:ascii="David" w:eastAsia="Calibri" w:hAnsi="David"/>
          <w:noProof w:val="0"/>
        </w:rPr>
      </w:pPr>
    </w:p>
    <w:p w:rsidR="001956B0" w:rsidRPr="00386C46" w:rsidRDefault="001956B0" w:rsidP="004F2AF5">
      <w:pPr>
        <w:numPr>
          <w:ilvl w:val="0"/>
          <w:numId w:val="1"/>
        </w:numPr>
        <w:spacing w:after="160" w:line="360" w:lineRule="auto"/>
        <w:ind w:left="651"/>
        <w:contextualSpacing/>
        <w:jc w:val="both"/>
        <w:rPr>
          <w:rFonts w:ascii="David" w:eastAsia="Calibri" w:hAnsi="David"/>
          <w:b/>
          <w:bCs/>
          <w:noProof w:val="0"/>
          <w:rtl/>
        </w:rPr>
      </w:pPr>
      <w:r w:rsidRPr="001956B0">
        <w:rPr>
          <w:rFonts w:ascii="David" w:eastAsia="Calibri" w:hAnsi="David"/>
          <w:noProof w:val="0"/>
          <w:rtl/>
        </w:rPr>
        <w:t xml:space="preserve">בנסיבות בהן המומחה עתיד להידרש לאי אלו תיקונים בהתאם להחלטתי דנן, לא מצאתי כי צו גילוי מידע שיינתן ביחס לקופ"ג ד"ש יביא </w:t>
      </w:r>
      <w:r w:rsidR="007D3091">
        <w:rPr>
          <w:rFonts w:ascii="David" w:eastAsia="Calibri" w:hAnsi="David" w:hint="cs"/>
          <w:noProof w:val="0"/>
          <w:rtl/>
        </w:rPr>
        <w:t xml:space="preserve">להארכת </w:t>
      </w:r>
      <w:r w:rsidRPr="001956B0">
        <w:rPr>
          <w:rFonts w:ascii="David" w:eastAsia="Calibri" w:hAnsi="David"/>
          <w:noProof w:val="0"/>
          <w:rtl/>
        </w:rPr>
        <w:t>ההליך בצורה לא מידתית. בנסיבות בהן התובע הודה כי במועד הקובע קופת הגמל לא הייתה נזילה וכי היא גמלה אך בהגיעו לגיל 60</w:t>
      </w:r>
      <w:r w:rsidR="00386C46">
        <w:rPr>
          <w:rFonts w:ascii="David" w:eastAsia="Calibri" w:hAnsi="David" w:hint="cs"/>
          <w:noProof w:val="0"/>
          <w:rtl/>
        </w:rPr>
        <w:t>,</w:t>
      </w:r>
      <w:r w:rsidRPr="001956B0">
        <w:rPr>
          <w:rFonts w:ascii="David" w:eastAsia="Calibri" w:hAnsi="David"/>
          <w:noProof w:val="0"/>
          <w:rtl/>
        </w:rPr>
        <w:t xml:space="preserve"> </w:t>
      </w:r>
      <w:r w:rsidRPr="00386C46">
        <w:rPr>
          <w:rFonts w:ascii="David" w:eastAsia="Calibri" w:hAnsi="David"/>
          <w:b/>
          <w:bCs/>
          <w:noProof w:val="0"/>
          <w:rtl/>
        </w:rPr>
        <w:t xml:space="preserve">אני מוצאת כי יש מקום לבחון את זכויותיו בקופה זו לצורך האיזון בין הצדדים.  </w:t>
      </w:r>
    </w:p>
    <w:p w:rsidR="001956B0" w:rsidRPr="001956B0" w:rsidRDefault="001956B0" w:rsidP="001956B0">
      <w:pPr>
        <w:spacing w:after="160" w:line="256" w:lineRule="auto"/>
        <w:ind w:left="720"/>
        <w:contextualSpacing/>
        <w:rPr>
          <w:rFonts w:ascii="David" w:eastAsia="Calibri" w:hAnsi="David"/>
          <w:noProof w:val="0"/>
        </w:rPr>
      </w:pPr>
    </w:p>
    <w:p w:rsidR="001956B0" w:rsidRDefault="00C57F46" w:rsidP="004F2AF5">
      <w:pPr>
        <w:numPr>
          <w:ilvl w:val="0"/>
          <w:numId w:val="1"/>
        </w:numPr>
        <w:spacing w:after="160" w:line="360" w:lineRule="auto"/>
        <w:ind w:left="651"/>
        <w:contextualSpacing/>
        <w:jc w:val="both"/>
        <w:rPr>
          <w:rFonts w:ascii="David" w:eastAsia="Calibri" w:hAnsi="David"/>
          <w:noProof w:val="0"/>
        </w:rPr>
      </w:pPr>
      <w:r w:rsidRPr="00386C46">
        <w:rPr>
          <w:rFonts w:ascii="David" w:eastAsia="Calibri" w:hAnsi="David" w:hint="cs"/>
          <w:b/>
          <w:bCs/>
          <w:noProof w:val="0"/>
          <w:rtl/>
        </w:rPr>
        <w:t xml:space="preserve">המבקשת רשאית </w:t>
      </w:r>
      <w:r w:rsidR="001956B0" w:rsidRPr="00386C46">
        <w:rPr>
          <w:rFonts w:ascii="David" w:eastAsia="Calibri" w:hAnsi="David"/>
          <w:b/>
          <w:bCs/>
          <w:noProof w:val="0"/>
          <w:rtl/>
        </w:rPr>
        <w:t>לאתר אסמכת</w:t>
      </w:r>
      <w:r w:rsidRPr="00386C46">
        <w:rPr>
          <w:rFonts w:ascii="David" w:eastAsia="Calibri" w:hAnsi="David" w:hint="cs"/>
          <w:b/>
          <w:bCs/>
          <w:noProof w:val="0"/>
          <w:rtl/>
        </w:rPr>
        <w:t>ה</w:t>
      </w:r>
      <w:r w:rsidR="001956B0" w:rsidRPr="00386C46">
        <w:rPr>
          <w:rFonts w:ascii="David" w:eastAsia="Calibri" w:hAnsi="David"/>
          <w:b/>
          <w:bCs/>
          <w:noProof w:val="0"/>
          <w:rtl/>
        </w:rPr>
        <w:t xml:space="preserve"> לעניין קופ"ג ד"ש האמורה במהירות המיטבי</w:t>
      </w:r>
      <w:r w:rsidRPr="00386C46">
        <w:rPr>
          <w:rFonts w:ascii="David" w:eastAsia="Calibri" w:hAnsi="David" w:hint="cs"/>
          <w:b/>
          <w:bCs/>
          <w:noProof w:val="0"/>
          <w:rtl/>
        </w:rPr>
        <w:t>ת</w:t>
      </w:r>
      <w:r w:rsidR="001956B0" w:rsidRPr="00386C46">
        <w:rPr>
          <w:rFonts w:ascii="David" w:eastAsia="Calibri" w:hAnsi="David"/>
          <w:b/>
          <w:bCs/>
          <w:noProof w:val="0"/>
          <w:rtl/>
        </w:rPr>
        <w:t xml:space="preserve"> באמצעות הגשת צו גילוי מידע מוסכם שיוגש לחתימתי בתוך </w:t>
      </w:r>
      <w:r w:rsidR="006E2C7A">
        <w:rPr>
          <w:rFonts w:ascii="David" w:eastAsia="Calibri" w:hAnsi="David" w:hint="cs"/>
          <w:b/>
          <w:bCs/>
          <w:noProof w:val="0"/>
          <w:rtl/>
        </w:rPr>
        <w:t>10</w:t>
      </w:r>
      <w:r w:rsidR="001956B0" w:rsidRPr="00386C46">
        <w:rPr>
          <w:rFonts w:ascii="David" w:eastAsia="Calibri" w:hAnsi="David"/>
          <w:b/>
          <w:bCs/>
          <w:noProof w:val="0"/>
          <w:rtl/>
        </w:rPr>
        <w:t xml:space="preserve"> ימים. התובע </w:t>
      </w:r>
      <w:r w:rsidRPr="00386C46">
        <w:rPr>
          <w:rFonts w:ascii="David" w:eastAsia="Calibri" w:hAnsi="David" w:hint="cs"/>
          <w:b/>
          <w:bCs/>
          <w:noProof w:val="0"/>
          <w:rtl/>
        </w:rPr>
        <w:t>ישתף פעולה לגילוי המידע</w:t>
      </w:r>
      <w:r>
        <w:rPr>
          <w:rFonts w:ascii="David" w:eastAsia="Calibri" w:hAnsi="David" w:hint="cs"/>
          <w:noProof w:val="0"/>
          <w:rtl/>
        </w:rPr>
        <w:t xml:space="preserve"> </w:t>
      </w:r>
      <w:r w:rsidR="001956B0" w:rsidRPr="001956B0">
        <w:rPr>
          <w:rFonts w:ascii="David" w:eastAsia="Calibri" w:hAnsi="David"/>
          <w:noProof w:val="0"/>
          <w:rtl/>
        </w:rPr>
        <w:t xml:space="preserve">מקופת ד"ש לשם </w:t>
      </w:r>
      <w:r w:rsidR="007D3091">
        <w:rPr>
          <w:rFonts w:ascii="David" w:eastAsia="Calibri" w:hAnsi="David" w:hint="cs"/>
          <w:noProof w:val="0"/>
          <w:rtl/>
        </w:rPr>
        <w:t xml:space="preserve">השלמת </w:t>
      </w:r>
      <w:r w:rsidR="001956B0" w:rsidRPr="001956B0">
        <w:rPr>
          <w:rFonts w:ascii="David" w:eastAsia="Calibri" w:hAnsi="David"/>
          <w:noProof w:val="0"/>
          <w:rtl/>
        </w:rPr>
        <w:t>איזון המשאבים בין הצדדים</w:t>
      </w:r>
      <w:r>
        <w:rPr>
          <w:rFonts w:ascii="David" w:eastAsia="Calibri" w:hAnsi="David" w:hint="cs"/>
          <w:noProof w:val="0"/>
          <w:rtl/>
        </w:rPr>
        <w:t>, ובמידת הצורך יסתייעו הצדדים במומחה</w:t>
      </w:r>
      <w:r w:rsidR="001956B0" w:rsidRPr="001956B0">
        <w:rPr>
          <w:rFonts w:ascii="David" w:eastAsia="Calibri" w:hAnsi="David"/>
          <w:noProof w:val="0"/>
          <w:rtl/>
        </w:rPr>
        <w:t>.</w:t>
      </w:r>
    </w:p>
    <w:p w:rsidR="00C57F46" w:rsidRDefault="00C57F46" w:rsidP="00C57F46">
      <w:pPr>
        <w:pStyle w:val="ad"/>
        <w:rPr>
          <w:rFonts w:ascii="David" w:eastAsia="Calibri" w:hAnsi="David"/>
          <w:noProof w:val="0"/>
          <w:rtl/>
        </w:rPr>
      </w:pPr>
    </w:p>
    <w:p w:rsidR="00C57F46" w:rsidRPr="00DD6909" w:rsidRDefault="0076725E" w:rsidP="004F2AF5">
      <w:pPr>
        <w:numPr>
          <w:ilvl w:val="0"/>
          <w:numId w:val="1"/>
        </w:numPr>
        <w:spacing w:after="160" w:line="360" w:lineRule="auto"/>
        <w:ind w:left="651"/>
        <w:contextualSpacing/>
        <w:jc w:val="both"/>
        <w:rPr>
          <w:rFonts w:ascii="David" w:eastAsia="Calibri" w:hAnsi="David"/>
          <w:b/>
          <w:bCs/>
          <w:noProof w:val="0"/>
          <w:rtl/>
        </w:rPr>
      </w:pPr>
      <w:r w:rsidRPr="00DD6909">
        <w:rPr>
          <w:rFonts w:ascii="David" w:eastAsia="Calibri" w:hAnsi="David" w:hint="cs"/>
          <w:b/>
          <w:bCs/>
          <w:noProof w:val="0"/>
          <w:rtl/>
        </w:rPr>
        <w:t>עם</w:t>
      </w:r>
      <w:r w:rsidRPr="00DD6909">
        <w:rPr>
          <w:rFonts w:ascii="David" w:eastAsia="Calibri" w:hAnsi="David"/>
          <w:b/>
          <w:bCs/>
          <w:noProof w:val="0"/>
          <w:rtl/>
        </w:rPr>
        <w:t xml:space="preserve"> </w:t>
      </w:r>
      <w:r w:rsidRPr="00DD6909">
        <w:rPr>
          <w:rFonts w:ascii="David" w:eastAsia="Calibri" w:hAnsi="David" w:hint="cs"/>
          <w:b/>
          <w:bCs/>
          <w:noProof w:val="0"/>
          <w:rtl/>
        </w:rPr>
        <w:t>קבלת המידע תעבירו המב</w:t>
      </w:r>
      <w:r w:rsidR="00386C46" w:rsidRPr="00DD6909">
        <w:rPr>
          <w:rFonts w:ascii="David" w:eastAsia="Calibri" w:hAnsi="David" w:hint="cs"/>
          <w:b/>
          <w:bCs/>
          <w:noProof w:val="0"/>
          <w:rtl/>
        </w:rPr>
        <w:t>קשת לידי המומחה כדי שיבצע את הע</w:t>
      </w:r>
      <w:r w:rsidRPr="00DD6909">
        <w:rPr>
          <w:rFonts w:ascii="David" w:eastAsia="Calibri" w:hAnsi="David" w:hint="cs"/>
          <w:b/>
          <w:bCs/>
          <w:noProof w:val="0"/>
          <w:rtl/>
        </w:rPr>
        <w:t>דכון בהתאם למסמך העדכני במסגרת השלמות חוו"ד א</w:t>
      </w:r>
      <w:r w:rsidR="00DD6909" w:rsidRPr="00DD6909">
        <w:rPr>
          <w:rFonts w:ascii="David" w:eastAsia="Calibri" w:hAnsi="David" w:hint="cs"/>
          <w:b/>
          <w:bCs/>
          <w:noProof w:val="0"/>
          <w:rtl/>
        </w:rPr>
        <w:t xml:space="preserve">ותן נדרש לבצע במסגרת פסק דין זה; </w:t>
      </w:r>
      <w:r w:rsidR="00C57F46" w:rsidRPr="00DD6909">
        <w:rPr>
          <w:rFonts w:ascii="David" w:eastAsia="Calibri" w:hAnsi="David" w:hint="cs"/>
          <w:b/>
          <w:bCs/>
          <w:noProof w:val="0"/>
          <w:rtl/>
        </w:rPr>
        <w:t xml:space="preserve">ככל שלא יוגש צו לחתימתי בתוך </w:t>
      </w:r>
      <w:r w:rsidR="006E2C7A" w:rsidRPr="00DD6909">
        <w:rPr>
          <w:rFonts w:ascii="David" w:eastAsia="Calibri" w:hAnsi="David" w:hint="cs"/>
          <w:b/>
          <w:bCs/>
          <w:noProof w:val="0"/>
          <w:rtl/>
        </w:rPr>
        <w:t>10</w:t>
      </w:r>
      <w:r w:rsidR="00C57F46" w:rsidRPr="00DD6909">
        <w:rPr>
          <w:rFonts w:ascii="David" w:eastAsia="Calibri" w:hAnsi="David" w:hint="cs"/>
          <w:b/>
          <w:bCs/>
          <w:noProof w:val="0"/>
          <w:rtl/>
        </w:rPr>
        <w:t xml:space="preserve"> ימים</w:t>
      </w:r>
      <w:r w:rsidR="006E2C7A" w:rsidRPr="00DD6909">
        <w:rPr>
          <w:rFonts w:ascii="David" w:eastAsia="Calibri" w:hAnsi="David" w:hint="cs"/>
          <w:b/>
          <w:bCs/>
          <w:noProof w:val="0"/>
          <w:rtl/>
        </w:rPr>
        <w:t xml:space="preserve"> ממתן פסק הדין</w:t>
      </w:r>
      <w:r w:rsidR="00C57F46" w:rsidRPr="00DD6909">
        <w:rPr>
          <w:rFonts w:ascii="David" w:eastAsia="Calibri" w:hAnsi="David" w:hint="cs"/>
          <w:b/>
          <w:bCs/>
          <w:noProof w:val="0"/>
          <w:rtl/>
        </w:rPr>
        <w:t xml:space="preserve">, ייחשב הדבר כאילו </w:t>
      </w:r>
      <w:r w:rsidR="00DD6909" w:rsidRPr="00DD6909">
        <w:rPr>
          <w:rFonts w:ascii="David" w:eastAsia="Calibri" w:hAnsi="David" w:hint="cs"/>
          <w:b/>
          <w:bCs/>
          <w:noProof w:val="0"/>
          <w:rtl/>
        </w:rPr>
        <w:t>הנתבעת</w:t>
      </w:r>
      <w:r w:rsidR="00C57F46" w:rsidRPr="00DD6909">
        <w:rPr>
          <w:rFonts w:ascii="David" w:eastAsia="Calibri" w:hAnsi="David" w:hint="cs"/>
          <w:b/>
          <w:bCs/>
          <w:noProof w:val="0"/>
          <w:rtl/>
        </w:rPr>
        <w:t xml:space="preserve"> וויתרה על טענותיה לעניין זה</w:t>
      </w:r>
      <w:r w:rsidR="00386C46" w:rsidRPr="00DD6909">
        <w:rPr>
          <w:rFonts w:ascii="David" w:eastAsia="Calibri" w:hAnsi="David" w:hint="cs"/>
          <w:b/>
          <w:bCs/>
          <w:noProof w:val="0"/>
          <w:rtl/>
        </w:rPr>
        <w:t>, וחישוב המומחה בסוגי</w:t>
      </w:r>
      <w:r w:rsidRPr="00DD6909">
        <w:rPr>
          <w:rFonts w:ascii="David" w:eastAsia="Calibri" w:hAnsi="David" w:hint="cs"/>
          <w:b/>
          <w:bCs/>
          <w:noProof w:val="0"/>
          <w:rtl/>
        </w:rPr>
        <w:t>ה זו יוותר על כנו</w:t>
      </w:r>
      <w:r w:rsidR="00C57F46" w:rsidRPr="00DD6909">
        <w:rPr>
          <w:rFonts w:ascii="David" w:eastAsia="Calibri" w:hAnsi="David" w:hint="cs"/>
          <w:b/>
          <w:bCs/>
          <w:noProof w:val="0"/>
          <w:rtl/>
        </w:rPr>
        <w:t>.</w:t>
      </w:r>
    </w:p>
    <w:p w:rsidR="0041189B" w:rsidRDefault="0041189B" w:rsidP="001956B0">
      <w:pPr>
        <w:spacing w:line="360" w:lineRule="auto"/>
        <w:ind w:left="291"/>
        <w:jc w:val="both"/>
        <w:rPr>
          <w:rFonts w:ascii="David" w:eastAsia="Calibri" w:hAnsi="David"/>
          <w:b/>
          <w:bCs/>
          <w:noProof w:val="0"/>
          <w:sz w:val="26"/>
          <w:szCs w:val="26"/>
          <w:rtl/>
        </w:rPr>
      </w:pPr>
    </w:p>
    <w:p w:rsidR="001956B0" w:rsidRPr="0076725E" w:rsidRDefault="001956B0" w:rsidP="001956B0">
      <w:pPr>
        <w:spacing w:line="360" w:lineRule="auto"/>
        <w:ind w:left="291"/>
        <w:jc w:val="both"/>
        <w:rPr>
          <w:rFonts w:ascii="David" w:eastAsia="Calibri" w:hAnsi="David"/>
          <w:b/>
          <w:bCs/>
          <w:noProof w:val="0"/>
          <w:sz w:val="26"/>
          <w:szCs w:val="26"/>
          <w:rtl/>
        </w:rPr>
      </w:pPr>
      <w:r w:rsidRPr="0076725E">
        <w:rPr>
          <w:rFonts w:ascii="David" w:eastAsia="Calibri" w:hAnsi="David"/>
          <w:b/>
          <w:bCs/>
          <w:noProof w:val="0"/>
          <w:sz w:val="26"/>
          <w:szCs w:val="26"/>
          <w:rtl/>
        </w:rPr>
        <w:t>קרן השתלמות של הנתבעת</w:t>
      </w:r>
    </w:p>
    <w:p w:rsidR="001956B0" w:rsidRPr="001956B0" w:rsidRDefault="001956B0" w:rsidP="001956B0">
      <w:pPr>
        <w:spacing w:line="360" w:lineRule="auto"/>
        <w:ind w:left="291"/>
        <w:jc w:val="both"/>
        <w:rPr>
          <w:rFonts w:ascii="David" w:eastAsia="Calibri" w:hAnsi="David"/>
          <w:b/>
          <w:bCs/>
          <w:noProof w:val="0"/>
          <w:rtl/>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Pr>
      </w:pPr>
      <w:r w:rsidRPr="0076725E">
        <w:rPr>
          <w:rFonts w:ascii="David" w:eastAsia="Calibri" w:hAnsi="David"/>
          <w:b/>
          <w:bCs/>
          <w:noProof w:val="0"/>
          <w:rtl/>
        </w:rPr>
        <w:t>הנתבעת</w:t>
      </w:r>
      <w:r w:rsidRPr="001956B0">
        <w:rPr>
          <w:rFonts w:ascii="David" w:eastAsia="Calibri" w:hAnsi="David"/>
          <w:noProof w:val="0"/>
          <w:rtl/>
        </w:rPr>
        <w:t xml:space="preserve"> </w:t>
      </w:r>
      <w:r w:rsidR="0076725E">
        <w:rPr>
          <w:rFonts w:ascii="David" w:eastAsia="Calibri" w:hAnsi="David" w:hint="cs"/>
          <w:noProof w:val="0"/>
          <w:rtl/>
        </w:rPr>
        <w:t xml:space="preserve">טענה כי </w:t>
      </w:r>
      <w:r w:rsidRPr="001956B0">
        <w:rPr>
          <w:rFonts w:ascii="David" w:eastAsia="Calibri" w:hAnsi="David"/>
          <w:noProof w:val="0"/>
          <w:rtl/>
        </w:rPr>
        <w:t>המומחה היוון את קרן ההשתלמות של התובע ממועד הנזילות הצפוי</w:t>
      </w:r>
      <w:r w:rsidR="006E2C7A">
        <w:rPr>
          <w:rFonts w:ascii="David" w:eastAsia="Calibri" w:hAnsi="David" w:hint="cs"/>
          <w:noProof w:val="0"/>
          <w:rtl/>
        </w:rPr>
        <w:t xml:space="preserve"> </w:t>
      </w:r>
      <w:r w:rsidRPr="001956B0">
        <w:rPr>
          <w:rFonts w:ascii="David" w:eastAsia="Calibri" w:hAnsi="David"/>
          <w:noProof w:val="0"/>
          <w:rtl/>
        </w:rPr>
        <w:t>(1/19) לאחור- למועד הפירוד</w:t>
      </w:r>
      <w:r w:rsidR="00C57F46">
        <w:rPr>
          <w:rFonts w:ascii="David" w:eastAsia="Calibri" w:hAnsi="David" w:hint="cs"/>
          <w:noProof w:val="0"/>
          <w:rtl/>
        </w:rPr>
        <w:t>,</w:t>
      </w:r>
      <w:r w:rsidR="00C57F46" w:rsidRPr="00C57F46">
        <w:rPr>
          <w:rFonts w:ascii="David" w:eastAsia="Calibri" w:hAnsi="David"/>
          <w:noProof w:val="0"/>
          <w:rtl/>
        </w:rPr>
        <w:t xml:space="preserve"> </w:t>
      </w:r>
      <w:r w:rsidR="00C57F46" w:rsidRPr="001956B0">
        <w:rPr>
          <w:rFonts w:ascii="David" w:eastAsia="Calibri" w:hAnsi="David"/>
          <w:noProof w:val="0"/>
          <w:rtl/>
        </w:rPr>
        <w:t>בניגוד לקרן ההשתלמות שלה</w:t>
      </w:r>
      <w:r w:rsidR="00C57F46">
        <w:rPr>
          <w:rFonts w:ascii="David" w:eastAsia="Calibri" w:hAnsi="David" w:hint="cs"/>
          <w:noProof w:val="0"/>
          <w:rtl/>
        </w:rPr>
        <w:t>, לגביה לא בוצע היוון</w:t>
      </w:r>
      <w:r w:rsidRPr="001956B0">
        <w:rPr>
          <w:rFonts w:ascii="David" w:eastAsia="Calibri" w:hAnsi="David"/>
          <w:noProof w:val="0"/>
          <w:rtl/>
        </w:rPr>
        <w:t>. כפי שטענה באופן כללי</w:t>
      </w:r>
      <w:r w:rsidR="0076725E">
        <w:rPr>
          <w:rFonts w:ascii="David" w:eastAsia="Calibri" w:hAnsi="David" w:hint="cs"/>
          <w:noProof w:val="0"/>
          <w:rtl/>
        </w:rPr>
        <w:t xml:space="preserve">, </w:t>
      </w:r>
      <w:r w:rsidRPr="001956B0">
        <w:rPr>
          <w:rFonts w:ascii="David" w:eastAsia="Calibri" w:hAnsi="David"/>
          <w:noProof w:val="0"/>
          <w:rtl/>
        </w:rPr>
        <w:t xml:space="preserve">שערוך לאחור </w:t>
      </w:r>
      <w:r w:rsidR="0076725E">
        <w:rPr>
          <w:rFonts w:ascii="David" w:eastAsia="Calibri" w:hAnsi="David" w:hint="cs"/>
          <w:noProof w:val="0"/>
          <w:rtl/>
        </w:rPr>
        <w:t xml:space="preserve">הינו </w:t>
      </w:r>
      <w:r w:rsidRPr="001956B0">
        <w:rPr>
          <w:rFonts w:ascii="David" w:eastAsia="Calibri" w:hAnsi="David"/>
          <w:noProof w:val="0"/>
          <w:rtl/>
        </w:rPr>
        <w:t>טעות, אולם ככל שכך פעל המומחה ביחס לקרן ההשתלמות של התובע</w:t>
      </w:r>
      <w:r w:rsidR="0041189B">
        <w:rPr>
          <w:rFonts w:ascii="David" w:eastAsia="Calibri" w:hAnsi="David" w:hint="cs"/>
          <w:noProof w:val="0"/>
          <w:rtl/>
        </w:rPr>
        <w:t>,</w:t>
      </w:r>
      <w:r w:rsidRPr="001956B0">
        <w:rPr>
          <w:rFonts w:ascii="David" w:eastAsia="Calibri" w:hAnsi="David"/>
          <w:noProof w:val="0"/>
          <w:rtl/>
        </w:rPr>
        <w:t xml:space="preserve"> הרי שראוי כי יפעל באותו אופן גם ביחס לקרן ההשתלמות שלה, על אף שהתקופה שלה קצרה יותר להיוון מאחר והסכום נמשך ב- 2/17. לפיכך עתרה להורות למומחה לתקן את חוות דעתו לעניין זה.</w:t>
      </w:r>
    </w:p>
    <w:p w:rsidR="001956B0" w:rsidRPr="001956B0" w:rsidRDefault="001956B0" w:rsidP="001956B0">
      <w:pPr>
        <w:spacing w:line="360" w:lineRule="auto"/>
        <w:ind w:left="651"/>
        <w:contextualSpacing/>
        <w:jc w:val="both"/>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Pr>
      </w:pPr>
      <w:r w:rsidRPr="0076725E">
        <w:rPr>
          <w:rFonts w:ascii="David" w:eastAsia="Calibri" w:hAnsi="David"/>
          <w:b/>
          <w:bCs/>
          <w:noProof w:val="0"/>
          <w:rtl/>
        </w:rPr>
        <w:t>התובע</w:t>
      </w:r>
      <w:r w:rsidRPr="001956B0">
        <w:rPr>
          <w:rFonts w:ascii="David" w:eastAsia="Calibri" w:hAnsi="David"/>
          <w:noProof w:val="0"/>
          <w:rtl/>
        </w:rPr>
        <w:t xml:space="preserve"> התנגד לכך וטען כי הנתבעת כלל לא הפנתה למסמך שילמד על מועד נזילותה של קרן ההשתלמות שלה ולא תמכה טענתה לפיה קרן ההשתלמות שלה לא הייתה נזילה במועד הקובע. העובדה שלשיטתה היא משכה את הכספים בקרן בשנת 2017 אין בה ללמד על כך שהקרן לא ה</w:t>
      </w:r>
      <w:r w:rsidR="0041189B">
        <w:rPr>
          <w:rFonts w:ascii="David" w:eastAsia="Calibri" w:hAnsi="David" w:hint="cs"/>
          <w:noProof w:val="0"/>
          <w:rtl/>
        </w:rPr>
        <w:t>י</w:t>
      </w:r>
      <w:r w:rsidRPr="001956B0">
        <w:rPr>
          <w:rFonts w:ascii="David" w:eastAsia="Calibri" w:hAnsi="David"/>
          <w:noProof w:val="0"/>
          <w:rtl/>
        </w:rPr>
        <w:t>יתה נזילה קודם למועד משיכת הכספים. התובע אף הפנה לנספח 10 לסיכומיו– דו"ח רבעוני של קרן ההשתלמות של הנתבעת אשר מלמד כי הקרן גמלה והי</w:t>
      </w:r>
      <w:r w:rsidR="0041189B">
        <w:rPr>
          <w:rFonts w:ascii="David" w:eastAsia="Calibri" w:hAnsi="David" w:hint="cs"/>
          <w:noProof w:val="0"/>
          <w:rtl/>
        </w:rPr>
        <w:t>י</w:t>
      </w:r>
      <w:r w:rsidRPr="001956B0">
        <w:rPr>
          <w:rFonts w:ascii="David" w:eastAsia="Calibri" w:hAnsi="David"/>
          <w:noProof w:val="0"/>
          <w:rtl/>
        </w:rPr>
        <w:t>תה ניתנת למשיכה החל מיום 30.6.2014, ומכאן שיש לדחות טענה זו</w:t>
      </w:r>
      <w:r w:rsidR="00C57F46">
        <w:rPr>
          <w:rFonts w:ascii="David" w:eastAsia="Calibri" w:hAnsi="David" w:hint="cs"/>
          <w:noProof w:val="0"/>
          <w:rtl/>
        </w:rPr>
        <w:t xml:space="preserve"> להיוונה</w:t>
      </w:r>
      <w:r w:rsidRPr="001956B0">
        <w:rPr>
          <w:rFonts w:ascii="David" w:eastAsia="Calibri" w:hAnsi="David"/>
          <w:noProof w:val="0"/>
          <w:rtl/>
        </w:rPr>
        <w:t>.</w:t>
      </w:r>
    </w:p>
    <w:p w:rsidR="001956B0" w:rsidRPr="00C57F46" w:rsidRDefault="001956B0" w:rsidP="001956B0">
      <w:pPr>
        <w:spacing w:after="160" w:line="256" w:lineRule="auto"/>
        <w:ind w:left="720"/>
        <w:contextualSpacing/>
        <w:rPr>
          <w:rFonts w:ascii="David" w:eastAsia="Calibri" w:hAnsi="David"/>
          <w:noProof w:val="0"/>
        </w:rPr>
      </w:pPr>
    </w:p>
    <w:p w:rsidR="00C57F46" w:rsidRDefault="00C57F46" w:rsidP="004F2AF5">
      <w:pPr>
        <w:numPr>
          <w:ilvl w:val="0"/>
          <w:numId w:val="1"/>
        </w:numPr>
        <w:spacing w:after="160" w:line="360" w:lineRule="auto"/>
        <w:ind w:left="651"/>
        <w:contextualSpacing/>
        <w:jc w:val="both"/>
        <w:rPr>
          <w:rFonts w:ascii="David" w:eastAsia="Calibri" w:hAnsi="David"/>
          <w:noProof w:val="0"/>
        </w:rPr>
      </w:pPr>
      <w:r w:rsidRPr="0076725E">
        <w:rPr>
          <w:rFonts w:ascii="David" w:eastAsia="Calibri" w:hAnsi="David" w:hint="cs"/>
          <w:b/>
          <w:bCs/>
          <w:noProof w:val="0"/>
          <w:rtl/>
        </w:rPr>
        <w:t>המומחה</w:t>
      </w:r>
      <w:r w:rsidR="0076725E">
        <w:rPr>
          <w:rFonts w:ascii="David" w:eastAsia="Calibri" w:hAnsi="David" w:hint="cs"/>
          <w:noProof w:val="0"/>
          <w:rtl/>
        </w:rPr>
        <w:t>,</w:t>
      </w:r>
      <w:r>
        <w:rPr>
          <w:rFonts w:ascii="David" w:eastAsia="Calibri" w:hAnsi="David" w:hint="cs"/>
          <w:noProof w:val="0"/>
          <w:rtl/>
        </w:rPr>
        <w:t xml:space="preserve"> בתשובתו לשאלות ההבהרה (שאלה 11) </w:t>
      </w:r>
      <w:r w:rsidR="0076725E">
        <w:rPr>
          <w:rFonts w:ascii="David" w:eastAsia="Calibri" w:hAnsi="David" w:hint="cs"/>
          <w:noProof w:val="0"/>
          <w:rtl/>
        </w:rPr>
        <w:t xml:space="preserve">הבהיר </w:t>
      </w:r>
      <w:r>
        <w:rPr>
          <w:rFonts w:ascii="David" w:eastAsia="Calibri" w:hAnsi="David" w:hint="cs"/>
          <w:noProof w:val="0"/>
          <w:rtl/>
        </w:rPr>
        <w:t>כי לא קיבל נתון בדבר מועד הנזילות של קרן ההשתלמות של הנתבעת ולכן לא הוון הסכום.</w:t>
      </w:r>
    </w:p>
    <w:p w:rsidR="00C57F46" w:rsidRPr="00C57F46" w:rsidRDefault="00C57F46" w:rsidP="00C57F46">
      <w:pPr>
        <w:pStyle w:val="ad"/>
        <w:rPr>
          <w:rFonts w:ascii="David" w:eastAsia="Calibri" w:hAnsi="David"/>
          <w:noProof w:val="0"/>
          <w:rtl/>
        </w:rPr>
      </w:pPr>
    </w:p>
    <w:p w:rsidR="00C57F46" w:rsidRDefault="00C57F46" w:rsidP="004F2AF5">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t>עיון ב</w:t>
      </w:r>
      <w:r w:rsidR="001956B0" w:rsidRPr="001956B0">
        <w:rPr>
          <w:rFonts w:ascii="David" w:eastAsia="Calibri" w:hAnsi="David"/>
          <w:noProof w:val="0"/>
          <w:rtl/>
        </w:rPr>
        <w:t>נספח 10 לסיכומי התובע מלמד על מועד נזילות של קרן ההשתלמות ביום 30.6.14</w:t>
      </w:r>
      <w:r>
        <w:rPr>
          <w:rFonts w:ascii="David" w:eastAsia="Calibri" w:hAnsi="David" w:hint="cs"/>
          <w:noProof w:val="0"/>
          <w:rtl/>
        </w:rPr>
        <w:t xml:space="preserve">, </w:t>
      </w:r>
      <w:r w:rsidRPr="00C57F46">
        <w:rPr>
          <w:rFonts w:ascii="David" w:eastAsia="Calibri" w:hAnsi="David" w:hint="cs"/>
          <w:b/>
          <w:bCs/>
          <w:noProof w:val="0"/>
          <w:rtl/>
        </w:rPr>
        <w:t>קודם למועד הפירוד</w:t>
      </w:r>
      <w:r w:rsidR="001956B0" w:rsidRPr="001956B0">
        <w:rPr>
          <w:rFonts w:ascii="David" w:eastAsia="Calibri" w:hAnsi="David"/>
          <w:noProof w:val="0"/>
          <w:rtl/>
        </w:rPr>
        <w:t xml:space="preserve">. </w:t>
      </w:r>
      <w:r w:rsidRPr="001956B0">
        <w:rPr>
          <w:rFonts w:ascii="David" w:eastAsia="Calibri" w:hAnsi="David"/>
          <w:noProof w:val="0"/>
          <w:rtl/>
        </w:rPr>
        <w:t xml:space="preserve">בסיכומי התשובה מטעמה </w:t>
      </w:r>
      <w:r w:rsidR="00C41171">
        <w:rPr>
          <w:rFonts w:ascii="David" w:eastAsia="Calibri" w:hAnsi="David" w:hint="cs"/>
          <w:noProof w:val="0"/>
          <w:rtl/>
        </w:rPr>
        <w:t>הנתבעת לא כפרה במסמך זה</w:t>
      </w:r>
      <w:r w:rsidRPr="001956B0">
        <w:rPr>
          <w:rFonts w:ascii="David" w:eastAsia="Calibri" w:hAnsi="David"/>
          <w:noProof w:val="0"/>
          <w:rtl/>
        </w:rPr>
        <w:t xml:space="preserve">, </w:t>
      </w:r>
      <w:r w:rsidR="00C41171">
        <w:rPr>
          <w:rFonts w:ascii="David" w:eastAsia="Calibri" w:hAnsi="David" w:hint="cs"/>
          <w:noProof w:val="0"/>
          <w:rtl/>
        </w:rPr>
        <w:t>ו</w:t>
      </w:r>
      <w:r>
        <w:rPr>
          <w:rFonts w:ascii="David" w:eastAsia="Calibri" w:hAnsi="David" w:hint="cs"/>
          <w:noProof w:val="0"/>
          <w:rtl/>
        </w:rPr>
        <w:t xml:space="preserve">לא הפריכה את טענה זו בדבר מועד </w:t>
      </w:r>
      <w:r w:rsidRPr="001956B0">
        <w:rPr>
          <w:rFonts w:ascii="David" w:eastAsia="Calibri" w:hAnsi="David"/>
          <w:noProof w:val="0"/>
          <w:rtl/>
        </w:rPr>
        <w:t>הנזילות של הקרן, חרף הבהרת המומחה בתשובתו לשאל</w:t>
      </w:r>
      <w:r>
        <w:rPr>
          <w:rFonts w:ascii="David" w:eastAsia="Calibri" w:hAnsi="David" w:hint="cs"/>
          <w:noProof w:val="0"/>
          <w:rtl/>
        </w:rPr>
        <w:t>ו</w:t>
      </w:r>
      <w:r w:rsidRPr="001956B0">
        <w:rPr>
          <w:rFonts w:ascii="David" w:eastAsia="Calibri" w:hAnsi="David"/>
          <w:noProof w:val="0"/>
          <w:rtl/>
        </w:rPr>
        <w:t>ת הבהרה</w:t>
      </w:r>
      <w:r>
        <w:rPr>
          <w:rFonts w:ascii="David" w:eastAsia="Calibri" w:hAnsi="David" w:hint="cs"/>
          <w:noProof w:val="0"/>
          <w:rtl/>
        </w:rPr>
        <w:t>.</w:t>
      </w:r>
    </w:p>
    <w:p w:rsidR="00C57F46" w:rsidRDefault="00C57F46" w:rsidP="00C57F46">
      <w:pPr>
        <w:pStyle w:val="ad"/>
        <w:rPr>
          <w:rFonts w:ascii="David" w:eastAsia="Calibri" w:hAnsi="David"/>
          <w:noProof w:val="0"/>
          <w:rtl/>
        </w:rPr>
      </w:pPr>
    </w:p>
    <w:p w:rsidR="00C57F46" w:rsidRDefault="00C57F46" w:rsidP="004F2AF5">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t xml:space="preserve">ברי כי ככל </w:t>
      </w:r>
      <w:r w:rsidR="0027494C">
        <w:rPr>
          <w:rFonts w:ascii="David" w:eastAsia="Calibri" w:hAnsi="David" w:hint="cs"/>
          <w:noProof w:val="0"/>
          <w:rtl/>
        </w:rPr>
        <w:t>ש</w:t>
      </w:r>
      <w:r>
        <w:rPr>
          <w:rFonts w:ascii="David" w:eastAsia="Calibri" w:hAnsi="David" w:hint="cs"/>
          <w:noProof w:val="0"/>
          <w:rtl/>
        </w:rPr>
        <w:t>במועד הפירוד היתה קרן ההשתלמות של הנתבעת נזילה, לא היה מקום לערוך היוון בגינה, כפי שנהג המומחה  בחוות הדעת.</w:t>
      </w:r>
    </w:p>
    <w:p w:rsidR="00C57F46" w:rsidRPr="00C57F46" w:rsidRDefault="00C57F46" w:rsidP="00C57F46">
      <w:pPr>
        <w:pStyle w:val="ad"/>
        <w:rPr>
          <w:rFonts w:ascii="David" w:eastAsia="Calibri" w:hAnsi="David"/>
          <w:noProof w:val="0"/>
          <w:rtl/>
        </w:rPr>
      </w:pPr>
    </w:p>
    <w:p w:rsidR="00C57F46" w:rsidRPr="0076725E" w:rsidRDefault="00C57F46" w:rsidP="004F2AF5">
      <w:pPr>
        <w:numPr>
          <w:ilvl w:val="0"/>
          <w:numId w:val="1"/>
        </w:numPr>
        <w:spacing w:after="160" w:line="360" w:lineRule="auto"/>
        <w:ind w:left="651"/>
        <w:contextualSpacing/>
        <w:jc w:val="both"/>
        <w:rPr>
          <w:rFonts w:ascii="David" w:eastAsia="Calibri" w:hAnsi="David"/>
          <w:b/>
          <w:bCs/>
          <w:noProof w:val="0"/>
        </w:rPr>
      </w:pPr>
      <w:r w:rsidRPr="0076725E">
        <w:rPr>
          <w:rFonts w:ascii="David" w:eastAsia="Calibri" w:hAnsi="David" w:hint="cs"/>
          <w:b/>
          <w:bCs/>
          <w:noProof w:val="0"/>
          <w:rtl/>
        </w:rPr>
        <w:t xml:space="preserve">לאור האמור, </w:t>
      </w:r>
      <w:r w:rsidRPr="0076725E">
        <w:rPr>
          <w:rFonts w:ascii="David" w:eastAsia="Calibri" w:hAnsi="David"/>
          <w:b/>
          <w:bCs/>
          <w:noProof w:val="0"/>
          <w:rtl/>
        </w:rPr>
        <w:t>טענת</w:t>
      </w:r>
      <w:r w:rsidRPr="0076725E">
        <w:rPr>
          <w:rFonts w:ascii="David" w:eastAsia="Calibri" w:hAnsi="David" w:hint="cs"/>
          <w:b/>
          <w:bCs/>
          <w:noProof w:val="0"/>
          <w:rtl/>
        </w:rPr>
        <w:t xml:space="preserve"> </w:t>
      </w:r>
      <w:r w:rsidRPr="0076725E">
        <w:rPr>
          <w:rFonts w:ascii="David" w:eastAsia="Calibri" w:hAnsi="David"/>
          <w:b/>
          <w:bCs/>
          <w:noProof w:val="0"/>
          <w:rtl/>
        </w:rPr>
        <w:t>ה</w:t>
      </w:r>
      <w:r w:rsidRPr="0076725E">
        <w:rPr>
          <w:rFonts w:ascii="David" w:eastAsia="Calibri" w:hAnsi="David" w:hint="cs"/>
          <w:b/>
          <w:bCs/>
          <w:noProof w:val="0"/>
          <w:rtl/>
        </w:rPr>
        <w:t xml:space="preserve">נתבעת </w:t>
      </w:r>
      <w:r w:rsidR="00C41171">
        <w:rPr>
          <w:rFonts w:ascii="David" w:eastAsia="Calibri" w:hAnsi="David" w:hint="cs"/>
          <w:b/>
          <w:bCs/>
          <w:noProof w:val="0"/>
          <w:rtl/>
        </w:rPr>
        <w:t xml:space="preserve">לעניין זה נדחית </w:t>
      </w:r>
      <w:r w:rsidRPr="0076725E">
        <w:rPr>
          <w:rFonts w:ascii="David" w:eastAsia="Calibri" w:hAnsi="David" w:hint="cs"/>
          <w:b/>
          <w:bCs/>
          <w:noProof w:val="0"/>
          <w:rtl/>
        </w:rPr>
        <w:t>לאור הראיות שלפני בדבר מועד נזילות קרן ההשתלמות של הנתבעת שלא נסתרו על ידה.</w:t>
      </w:r>
    </w:p>
    <w:p w:rsidR="00C41171" w:rsidRDefault="00C41171" w:rsidP="0076725E">
      <w:pPr>
        <w:spacing w:line="360" w:lineRule="auto"/>
        <w:jc w:val="both"/>
        <w:rPr>
          <w:rFonts w:ascii="David" w:eastAsia="Calibri" w:hAnsi="David"/>
          <w:b/>
          <w:bCs/>
          <w:noProof w:val="0"/>
          <w:sz w:val="26"/>
          <w:szCs w:val="26"/>
          <w:rtl/>
        </w:rPr>
      </w:pPr>
    </w:p>
    <w:p w:rsidR="001956B0" w:rsidRPr="0076725E" w:rsidRDefault="001956B0" w:rsidP="0076725E">
      <w:pPr>
        <w:spacing w:line="360" w:lineRule="auto"/>
        <w:jc w:val="both"/>
        <w:rPr>
          <w:rFonts w:ascii="David" w:eastAsia="Calibri" w:hAnsi="David"/>
          <w:b/>
          <w:bCs/>
          <w:noProof w:val="0"/>
          <w:sz w:val="26"/>
          <w:szCs w:val="26"/>
          <w:rtl/>
        </w:rPr>
      </w:pPr>
      <w:r w:rsidRPr="0076725E">
        <w:rPr>
          <w:rFonts w:ascii="David" w:eastAsia="Calibri" w:hAnsi="David"/>
          <w:b/>
          <w:bCs/>
          <w:noProof w:val="0"/>
          <w:sz w:val="26"/>
          <w:szCs w:val="26"/>
          <w:rtl/>
        </w:rPr>
        <w:t>הלוואה שנטלה הנתבעת בסמוך למועד הפירוד</w:t>
      </w:r>
    </w:p>
    <w:p w:rsidR="001956B0" w:rsidRPr="001956B0" w:rsidRDefault="001956B0" w:rsidP="001956B0">
      <w:pPr>
        <w:spacing w:line="360" w:lineRule="auto"/>
        <w:ind w:left="291"/>
        <w:jc w:val="both"/>
        <w:rPr>
          <w:rFonts w:ascii="David" w:eastAsia="Calibri" w:hAnsi="David"/>
          <w:b/>
          <w:bCs/>
          <w:noProof w:val="0"/>
          <w:rtl/>
        </w:rPr>
      </w:pPr>
    </w:p>
    <w:p w:rsidR="0076725E" w:rsidRDefault="0076725E" w:rsidP="004F2AF5">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t>הצדדים חלוקים אודות הלוואה שנטלה התובעת ע"ח קרן ההשתלמות שלה בסמוך למועד הקרע.</w:t>
      </w:r>
    </w:p>
    <w:p w:rsidR="0076725E" w:rsidRPr="0076725E" w:rsidRDefault="0076725E" w:rsidP="0076725E">
      <w:pPr>
        <w:spacing w:after="160" w:line="360" w:lineRule="auto"/>
        <w:ind w:left="651"/>
        <w:contextualSpacing/>
        <w:jc w:val="both"/>
        <w:rPr>
          <w:rFonts w:ascii="David" w:eastAsia="Calibri" w:hAnsi="David"/>
          <w:noProof w:val="0"/>
        </w:rPr>
      </w:pPr>
    </w:p>
    <w:p w:rsidR="000507B0" w:rsidRPr="000507B0" w:rsidRDefault="000507B0" w:rsidP="004F2AF5">
      <w:pPr>
        <w:numPr>
          <w:ilvl w:val="0"/>
          <w:numId w:val="1"/>
        </w:numPr>
        <w:spacing w:after="160" w:line="360" w:lineRule="auto"/>
        <w:ind w:left="651"/>
        <w:contextualSpacing/>
        <w:jc w:val="both"/>
        <w:rPr>
          <w:rFonts w:ascii="David" w:eastAsia="Calibri" w:hAnsi="David"/>
          <w:noProof w:val="0"/>
        </w:rPr>
      </w:pPr>
      <w:r w:rsidRPr="0076725E">
        <w:rPr>
          <w:rFonts w:ascii="David" w:eastAsia="Calibri" w:hAnsi="David" w:hint="cs"/>
          <w:b/>
          <w:bCs/>
          <w:noProof w:val="0"/>
          <w:rtl/>
        </w:rPr>
        <w:t>התובע</w:t>
      </w:r>
      <w:r>
        <w:rPr>
          <w:rFonts w:ascii="David" w:eastAsia="Calibri" w:hAnsi="David" w:hint="cs"/>
          <w:noProof w:val="0"/>
          <w:rtl/>
        </w:rPr>
        <w:t xml:space="preserve"> מתנגד לגריעת ההלוואה שנטלה האישה על חשבון קרן ההשתלמות מההתחשבנות בין הצדדים ועותר שלא לחייבו במחציתה, בנסיבות בהן לשיטתו </w:t>
      </w:r>
      <w:r w:rsidRPr="000507B0">
        <w:rPr>
          <w:rFonts w:ascii="David" w:eastAsia="Calibri" w:hAnsi="David"/>
          <w:noProof w:val="0"/>
          <w:rtl/>
        </w:rPr>
        <w:t xml:space="preserve">מדובר בהלוואה שניטלה על ידי הנתבעת בסמוך למועד הפירוד ללא ידיעתו וללא הסכמתו, היא לא שימשה לצרכים משותפים. </w:t>
      </w:r>
    </w:p>
    <w:p w:rsidR="000507B0" w:rsidRPr="000507B0" w:rsidRDefault="000507B0" w:rsidP="000507B0">
      <w:pPr>
        <w:spacing w:after="160" w:line="360" w:lineRule="auto"/>
        <w:ind w:left="651"/>
        <w:contextualSpacing/>
        <w:jc w:val="both"/>
        <w:rPr>
          <w:rFonts w:ascii="David" w:eastAsia="Calibri" w:hAnsi="David"/>
          <w:noProof w:val="0"/>
        </w:rPr>
      </w:pPr>
    </w:p>
    <w:p w:rsidR="0076725E" w:rsidRDefault="0076725E" w:rsidP="004F2AF5">
      <w:pPr>
        <w:numPr>
          <w:ilvl w:val="0"/>
          <w:numId w:val="1"/>
        </w:numPr>
        <w:spacing w:after="160" w:line="360" w:lineRule="auto"/>
        <w:ind w:left="651"/>
        <w:contextualSpacing/>
        <w:jc w:val="both"/>
        <w:rPr>
          <w:rFonts w:ascii="David" w:eastAsia="Calibri" w:hAnsi="David"/>
          <w:noProof w:val="0"/>
        </w:rPr>
      </w:pPr>
      <w:r w:rsidRPr="0076725E">
        <w:rPr>
          <w:rFonts w:ascii="David" w:eastAsia="Calibri" w:hAnsi="David"/>
          <w:b/>
          <w:bCs/>
          <w:noProof w:val="0"/>
          <w:rtl/>
        </w:rPr>
        <w:t>הנתבעת</w:t>
      </w:r>
      <w:r w:rsidRPr="001956B0">
        <w:rPr>
          <w:rFonts w:ascii="David" w:eastAsia="Calibri" w:hAnsi="David"/>
          <w:noProof w:val="0"/>
          <w:rtl/>
        </w:rPr>
        <w:t xml:space="preserve"> מצידה טענה כי ההלוואה האמורה ניטלה לצורך סיוע לבנם איתמר בחודש ינואר 2016 בזמן החיים המשותפים בידיעתו ובהסכמתו של התובע ולפיכך אין מדובר בהברחת כספים אלא בסיוע לבן. היא הדגישה כי התובע עזב את הבית חצי שנה לאחר מכן ביום 15.6.16, והתובע כועס על כך שלאור עזיבתו את הבית לטובת מאהבת הבן כעס עליו וניתק עמו קשר. </w:t>
      </w:r>
    </w:p>
    <w:p w:rsidR="0076725E" w:rsidRDefault="0076725E" w:rsidP="0076725E">
      <w:pPr>
        <w:pStyle w:val="ad"/>
        <w:rPr>
          <w:rFonts w:ascii="David" w:eastAsia="Calibri" w:hAnsi="David"/>
          <w:noProof w:val="0"/>
          <w:rtl/>
        </w:rPr>
      </w:pPr>
    </w:p>
    <w:p w:rsidR="000507B0" w:rsidRDefault="001956B0" w:rsidP="004F2AF5">
      <w:pPr>
        <w:numPr>
          <w:ilvl w:val="0"/>
          <w:numId w:val="1"/>
        </w:numPr>
        <w:spacing w:after="160" w:line="360" w:lineRule="auto"/>
        <w:ind w:left="651"/>
        <w:contextualSpacing/>
        <w:jc w:val="both"/>
        <w:rPr>
          <w:rFonts w:ascii="David" w:eastAsia="Calibri" w:hAnsi="David"/>
          <w:noProof w:val="0"/>
        </w:rPr>
      </w:pPr>
      <w:r w:rsidRPr="0076725E">
        <w:rPr>
          <w:rFonts w:ascii="David" w:eastAsia="Calibri" w:hAnsi="David"/>
          <w:b/>
          <w:bCs/>
          <w:noProof w:val="0"/>
          <w:rtl/>
        </w:rPr>
        <w:t>המומחה</w:t>
      </w:r>
      <w:r w:rsidRPr="000507B0">
        <w:rPr>
          <w:rFonts w:ascii="David" w:eastAsia="Calibri" w:hAnsi="David"/>
          <w:noProof w:val="0"/>
          <w:rtl/>
        </w:rPr>
        <w:t xml:space="preserve"> </w:t>
      </w:r>
      <w:r w:rsidR="00B86247" w:rsidRPr="000507B0">
        <w:rPr>
          <w:rFonts w:ascii="David" w:eastAsia="Calibri" w:hAnsi="David" w:hint="cs"/>
          <w:noProof w:val="0"/>
          <w:rtl/>
        </w:rPr>
        <w:t xml:space="preserve">ציין </w:t>
      </w:r>
      <w:r w:rsidRPr="000507B0">
        <w:rPr>
          <w:rFonts w:ascii="David" w:eastAsia="Calibri" w:hAnsi="David"/>
          <w:noProof w:val="0"/>
          <w:rtl/>
        </w:rPr>
        <w:t xml:space="preserve">בחוות דעתו בנוגע לקרן ההשתלמות של הנתבעת לפיה לנתבעת יתרת זכות של 133,172 ₪ אולם </w:t>
      </w:r>
      <w:r w:rsidR="00B86247" w:rsidRPr="000507B0">
        <w:rPr>
          <w:rFonts w:ascii="David" w:eastAsia="Calibri" w:hAnsi="David" w:hint="cs"/>
          <w:noProof w:val="0"/>
          <w:rtl/>
        </w:rPr>
        <w:t xml:space="preserve">היא </w:t>
      </w:r>
      <w:r w:rsidRPr="000507B0">
        <w:rPr>
          <w:rFonts w:ascii="David" w:eastAsia="Calibri" w:hAnsi="David"/>
          <w:noProof w:val="0"/>
          <w:rtl/>
        </w:rPr>
        <w:t xml:space="preserve">נטלה מהקרן הלוואה ע"ס 65,000 ₪, אשר יתרתה למועד הקובע בסך 58,000 ₪. </w:t>
      </w:r>
      <w:r w:rsidR="000507B0" w:rsidRPr="000507B0">
        <w:rPr>
          <w:rFonts w:ascii="David" w:eastAsia="Calibri" w:hAnsi="David" w:hint="cs"/>
          <w:noProof w:val="0"/>
          <w:rtl/>
        </w:rPr>
        <w:t xml:space="preserve"> </w:t>
      </w:r>
      <w:r w:rsidRPr="000507B0">
        <w:rPr>
          <w:rFonts w:ascii="David" w:eastAsia="Calibri" w:hAnsi="David"/>
          <w:noProof w:val="0"/>
          <w:rtl/>
        </w:rPr>
        <w:t xml:space="preserve">כפי שעולה מחוות הדעת המומחה גרע את סכום ההלוואה מיתרת הזכות של קרן ההשתלמות ולפיכך קבע כי יתרת קרן ההשתלמות במועד הקובע </w:t>
      </w:r>
      <w:r w:rsidR="0076725E">
        <w:rPr>
          <w:rFonts w:ascii="David" w:eastAsia="Calibri" w:hAnsi="David" w:hint="cs"/>
          <w:noProof w:val="0"/>
          <w:rtl/>
        </w:rPr>
        <w:t xml:space="preserve">שהובאה בחשבון הינה </w:t>
      </w:r>
      <w:r w:rsidRPr="000507B0">
        <w:rPr>
          <w:rFonts w:ascii="David" w:eastAsia="Calibri" w:hAnsi="David"/>
          <w:noProof w:val="0"/>
          <w:rtl/>
        </w:rPr>
        <w:t>74,942 ₪</w:t>
      </w:r>
      <w:r w:rsidR="0076725E">
        <w:rPr>
          <w:rFonts w:ascii="David" w:eastAsia="Calibri" w:hAnsi="David" w:hint="cs"/>
          <w:noProof w:val="0"/>
          <w:rtl/>
        </w:rPr>
        <w:t xml:space="preserve"> בלבד</w:t>
      </w:r>
      <w:r w:rsidRPr="000507B0">
        <w:rPr>
          <w:rFonts w:ascii="David" w:eastAsia="Calibri" w:hAnsi="David"/>
          <w:noProof w:val="0"/>
          <w:rtl/>
        </w:rPr>
        <w:t xml:space="preserve">. </w:t>
      </w:r>
    </w:p>
    <w:p w:rsidR="001956B0" w:rsidRPr="001956B0" w:rsidRDefault="001956B0" w:rsidP="001956B0">
      <w:pPr>
        <w:spacing w:line="360" w:lineRule="auto"/>
        <w:ind w:left="651"/>
        <w:contextualSpacing/>
        <w:jc w:val="both"/>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t xml:space="preserve">על פי התכתבות בין הצדדים ובאי כוחם בנוגע להלוואה זו ומטרתה </w:t>
      </w:r>
      <w:r w:rsidR="0027494C">
        <w:rPr>
          <w:rFonts w:ascii="David" w:eastAsia="Calibri" w:hAnsi="David" w:hint="cs"/>
          <w:noProof w:val="0"/>
          <w:rtl/>
        </w:rPr>
        <w:t>(</w:t>
      </w:r>
      <w:r w:rsidRPr="001956B0">
        <w:rPr>
          <w:rFonts w:ascii="David" w:eastAsia="Calibri" w:hAnsi="David"/>
          <w:noProof w:val="0"/>
          <w:rtl/>
        </w:rPr>
        <w:t>שצורפה כנספח 14 לסיכומי התובע</w:t>
      </w:r>
      <w:r w:rsidR="0027494C">
        <w:rPr>
          <w:rFonts w:ascii="David" w:eastAsia="Calibri" w:hAnsi="David" w:hint="cs"/>
          <w:noProof w:val="0"/>
          <w:rtl/>
        </w:rPr>
        <w:t>)</w:t>
      </w:r>
      <w:r w:rsidRPr="001956B0">
        <w:rPr>
          <w:rFonts w:ascii="David" w:eastAsia="Calibri" w:hAnsi="David"/>
          <w:noProof w:val="0"/>
          <w:rtl/>
        </w:rPr>
        <w:t>, עולה כי קיומה של הלוואה זו</w:t>
      </w:r>
      <w:r w:rsidR="0027494C">
        <w:rPr>
          <w:rFonts w:ascii="David" w:eastAsia="Calibri" w:hAnsi="David" w:hint="cs"/>
          <w:noProof w:val="0"/>
          <w:rtl/>
        </w:rPr>
        <w:t>,</w:t>
      </w:r>
      <w:r w:rsidRPr="001956B0">
        <w:rPr>
          <w:rFonts w:ascii="David" w:eastAsia="Calibri" w:hAnsi="David"/>
          <w:noProof w:val="0"/>
          <w:rtl/>
        </w:rPr>
        <w:t xml:space="preserve"> לרבות סיבת נטילתה כפי שנמסרה על ידי הנתבעת בזמנו, היו ידועים לתובע עוד בחודש דצמבר 2019. </w:t>
      </w:r>
    </w:p>
    <w:p w:rsidR="001956B0" w:rsidRPr="001956B0" w:rsidRDefault="001956B0" w:rsidP="001956B0">
      <w:pPr>
        <w:spacing w:after="160" w:line="256" w:lineRule="auto"/>
        <w:ind w:left="720"/>
        <w:contextualSpacing/>
        <w:rPr>
          <w:rFonts w:ascii="David" w:eastAsia="Calibri" w:hAnsi="David"/>
          <w:noProof w:val="0"/>
        </w:rPr>
      </w:pPr>
    </w:p>
    <w:p w:rsidR="00B86247" w:rsidRDefault="00B86247" w:rsidP="004F2AF5">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lastRenderedPageBreak/>
        <w:t xml:space="preserve">אולם, </w:t>
      </w:r>
      <w:r w:rsidR="001956B0" w:rsidRPr="001956B0">
        <w:rPr>
          <w:rFonts w:ascii="David" w:eastAsia="Calibri" w:hAnsi="David"/>
          <w:noProof w:val="0"/>
          <w:rtl/>
        </w:rPr>
        <w:t xml:space="preserve">הסכם הפשרה בין הצדדים </w:t>
      </w:r>
      <w:r>
        <w:rPr>
          <w:rFonts w:ascii="David" w:eastAsia="Calibri" w:hAnsi="David" w:hint="cs"/>
          <w:noProof w:val="0"/>
          <w:rtl/>
        </w:rPr>
        <w:t xml:space="preserve">אשר </w:t>
      </w:r>
      <w:r w:rsidR="001956B0" w:rsidRPr="001956B0">
        <w:rPr>
          <w:rFonts w:ascii="David" w:eastAsia="Calibri" w:hAnsi="David"/>
          <w:noProof w:val="0"/>
          <w:rtl/>
        </w:rPr>
        <w:t>הוגש על ידי הצדדים ואושר על ידי בית המשפט בהחלטתו מיום 2.5.21</w:t>
      </w:r>
      <w:r>
        <w:rPr>
          <w:rFonts w:ascii="David" w:eastAsia="Calibri" w:hAnsi="David" w:hint="cs"/>
          <w:noProof w:val="0"/>
          <w:rtl/>
        </w:rPr>
        <w:t xml:space="preserve"> </w:t>
      </w:r>
      <w:r w:rsidRPr="000507B0">
        <w:rPr>
          <w:rFonts w:ascii="David" w:eastAsia="Calibri" w:hAnsi="David" w:hint="cs"/>
          <w:b/>
          <w:bCs/>
          <w:noProof w:val="0"/>
          <w:rtl/>
        </w:rPr>
        <w:t>לא מתייחס לסוגיה זו</w:t>
      </w:r>
      <w:r>
        <w:rPr>
          <w:rFonts w:ascii="David" w:eastAsia="Calibri" w:hAnsi="David" w:hint="cs"/>
          <w:noProof w:val="0"/>
          <w:rtl/>
        </w:rPr>
        <w:t xml:space="preserve"> </w:t>
      </w:r>
      <w:r w:rsidR="000507B0">
        <w:rPr>
          <w:rFonts w:ascii="David" w:eastAsia="Calibri" w:hAnsi="David" w:hint="cs"/>
          <w:noProof w:val="0"/>
          <w:rtl/>
        </w:rPr>
        <w:t xml:space="preserve">ואינו </w:t>
      </w:r>
      <w:r>
        <w:rPr>
          <w:rFonts w:ascii="David" w:eastAsia="Calibri" w:hAnsi="David" w:hint="cs"/>
          <w:noProof w:val="0"/>
          <w:rtl/>
        </w:rPr>
        <w:t>מחרי</w:t>
      </w:r>
      <w:r w:rsidR="000507B0">
        <w:rPr>
          <w:rFonts w:ascii="David" w:eastAsia="Calibri" w:hAnsi="David" w:hint="cs"/>
          <w:noProof w:val="0"/>
          <w:rtl/>
        </w:rPr>
        <w:t>ג</w:t>
      </w:r>
      <w:r>
        <w:rPr>
          <w:rFonts w:ascii="David" w:eastAsia="Calibri" w:hAnsi="David" w:hint="cs"/>
          <w:noProof w:val="0"/>
          <w:rtl/>
        </w:rPr>
        <w:t xml:space="preserve"> את ההלוואה הנטענת</w:t>
      </w:r>
      <w:r w:rsidR="001956B0" w:rsidRPr="001956B0">
        <w:rPr>
          <w:rFonts w:ascii="David" w:eastAsia="Calibri" w:hAnsi="David"/>
          <w:noProof w:val="0"/>
          <w:rtl/>
        </w:rPr>
        <w:t xml:space="preserve">. </w:t>
      </w:r>
    </w:p>
    <w:p w:rsidR="00B86247" w:rsidRPr="00B86247" w:rsidRDefault="00B86247" w:rsidP="00B86247">
      <w:pPr>
        <w:pStyle w:val="ad"/>
        <w:rPr>
          <w:rFonts w:ascii="David" w:eastAsia="Calibri" w:hAnsi="David"/>
          <w:noProof w:val="0"/>
          <w:rtl/>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t xml:space="preserve">ככל שהתובע סבור היה כי נותרה מחלוקת משפטית בנוגע להברחת כספים או נטילת הלוואות בסמוך למועד הפירוד שלא לצרכים משותפים – הרי שהיה עליו להעלות עניין זה במסגרת </w:t>
      </w:r>
      <w:r w:rsidR="00B86247">
        <w:rPr>
          <w:rFonts w:ascii="David" w:eastAsia="Calibri" w:hAnsi="David" w:hint="cs"/>
          <w:noProof w:val="0"/>
          <w:rtl/>
        </w:rPr>
        <w:t xml:space="preserve">הסכם </w:t>
      </w:r>
      <w:r w:rsidRPr="001956B0">
        <w:rPr>
          <w:rFonts w:ascii="David" w:eastAsia="Calibri" w:hAnsi="David"/>
          <w:noProof w:val="0"/>
          <w:rtl/>
        </w:rPr>
        <w:t xml:space="preserve">הפשרה בין הצדדים </w:t>
      </w:r>
      <w:r w:rsidR="0076725E">
        <w:rPr>
          <w:rFonts w:ascii="David" w:eastAsia="Calibri" w:hAnsi="David" w:hint="cs"/>
          <w:noProof w:val="0"/>
          <w:rtl/>
        </w:rPr>
        <w:t xml:space="preserve"> שקיבל תוקף של החלטה, </w:t>
      </w:r>
      <w:r w:rsidRPr="001956B0">
        <w:rPr>
          <w:rFonts w:ascii="David" w:eastAsia="Calibri" w:hAnsi="David"/>
          <w:noProof w:val="0"/>
          <w:rtl/>
        </w:rPr>
        <w:t xml:space="preserve">ולהותיר עניין זה מפורשות להכרעת בית המשפט. </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t xml:space="preserve">ודוק, בסעיף 2 להסכם הסכימו הצדדים למסור להכרעת המומחה שימונה את ביצוע איזון המשאבים הכולל של זכויותיהם ו/או חובותיהם, לרבות </w:t>
      </w:r>
      <w:r w:rsidRPr="000507B0">
        <w:rPr>
          <w:rFonts w:ascii="David" w:eastAsia="Calibri" w:hAnsi="David"/>
          <w:b/>
          <w:bCs/>
          <w:noProof w:val="0"/>
          <w:rtl/>
        </w:rPr>
        <w:t>"הלוואות</w:t>
      </w:r>
      <w:r w:rsidRPr="001956B0">
        <w:rPr>
          <w:rFonts w:ascii="David" w:eastAsia="Calibri" w:hAnsi="David"/>
          <w:noProof w:val="0"/>
          <w:rtl/>
        </w:rPr>
        <w:t>".</w:t>
      </w:r>
    </w:p>
    <w:p w:rsidR="001956B0" w:rsidRPr="001956B0" w:rsidRDefault="001956B0" w:rsidP="001956B0">
      <w:pPr>
        <w:spacing w:after="160" w:line="256" w:lineRule="auto"/>
        <w:ind w:left="720"/>
        <w:contextualSpacing/>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tl/>
        </w:rPr>
      </w:pPr>
      <w:r w:rsidRPr="001956B0">
        <w:rPr>
          <w:rFonts w:ascii="David" w:eastAsia="Calibri" w:hAnsi="David"/>
          <w:noProof w:val="0"/>
          <w:rtl/>
        </w:rPr>
        <w:t>הסכמת הצדדים האמורה בסעיף 3 להסכם לפיה "...</w:t>
      </w:r>
      <w:r w:rsidRPr="001956B0">
        <w:rPr>
          <w:rFonts w:ascii="David" w:eastAsia="Calibri" w:hAnsi="David"/>
          <w:b/>
          <w:bCs/>
          <w:noProof w:val="0"/>
          <w:rtl/>
        </w:rPr>
        <w:t>ככל שתעלינה סוגיות משפטיות ו/או טעויות סופר בקשר עם מסקנות האקטואר הם יוכלו לפנות בנדון בבקשה לביהמ"ש</w:t>
      </w:r>
      <w:r w:rsidRPr="001956B0">
        <w:rPr>
          <w:rFonts w:ascii="David" w:eastAsia="Calibri" w:hAnsi="David"/>
          <w:noProof w:val="0"/>
          <w:rtl/>
        </w:rPr>
        <w:t xml:space="preserve">", </w:t>
      </w:r>
      <w:r w:rsidR="00B86247">
        <w:rPr>
          <w:rFonts w:ascii="David" w:eastAsia="Calibri" w:hAnsi="David" w:hint="cs"/>
          <w:noProof w:val="0"/>
          <w:rtl/>
        </w:rPr>
        <w:t xml:space="preserve">אינה </w:t>
      </w:r>
      <w:r w:rsidRPr="001956B0">
        <w:rPr>
          <w:rFonts w:ascii="David" w:eastAsia="Calibri" w:hAnsi="David"/>
          <w:noProof w:val="0"/>
          <w:rtl/>
        </w:rPr>
        <w:t xml:space="preserve">מתייחסת למחלוקת משפטית מעין זו, </w:t>
      </w:r>
      <w:r w:rsidR="00B86247">
        <w:rPr>
          <w:rFonts w:ascii="David" w:eastAsia="Calibri" w:hAnsi="David" w:hint="cs"/>
          <w:noProof w:val="0"/>
          <w:rtl/>
        </w:rPr>
        <w:t xml:space="preserve"> אלא </w:t>
      </w:r>
      <w:r w:rsidRPr="001956B0">
        <w:rPr>
          <w:rFonts w:ascii="David" w:eastAsia="Calibri" w:hAnsi="David"/>
          <w:noProof w:val="0"/>
          <w:rtl/>
        </w:rPr>
        <w:t>למסקנות המומחה (המקצועיות והחשבוניות) בחוות דעתו, ולא בכדי ציין המומחה לעניין זה כי "</w:t>
      </w:r>
      <w:r w:rsidRPr="001956B0">
        <w:rPr>
          <w:rFonts w:ascii="David" w:eastAsia="Calibri" w:hAnsi="David"/>
          <w:b/>
          <w:bCs/>
          <w:noProof w:val="0"/>
          <w:rtl/>
        </w:rPr>
        <w:t>הטענות כי ההלואה לא שימשה לצרכים משותפים – בבמ"ש</w:t>
      </w:r>
      <w:r w:rsidRPr="001956B0">
        <w:rPr>
          <w:rFonts w:ascii="David" w:eastAsia="Calibri" w:hAnsi="David"/>
          <w:noProof w:val="0"/>
          <w:rtl/>
        </w:rPr>
        <w:t>" (ראו עמ' 5 לחווה"ד). הדברים אף לא מסתברים מהגיונו של ההסכם ומטרתו- להביא לכדי סיום את שלל מחלוקות הצדדים.</w:t>
      </w:r>
    </w:p>
    <w:p w:rsidR="001956B0" w:rsidRPr="001956B0" w:rsidRDefault="001956B0" w:rsidP="001956B0">
      <w:pPr>
        <w:spacing w:line="360" w:lineRule="auto"/>
        <w:ind w:left="651"/>
        <w:contextualSpacing/>
        <w:jc w:val="both"/>
        <w:rPr>
          <w:rFonts w:ascii="David" w:eastAsia="Calibri" w:hAnsi="David"/>
          <w:noProof w:val="0"/>
        </w:rPr>
      </w:pPr>
    </w:p>
    <w:p w:rsidR="007D3091" w:rsidRPr="00B624D5" w:rsidRDefault="001956B0" w:rsidP="00513A06">
      <w:pPr>
        <w:numPr>
          <w:ilvl w:val="0"/>
          <w:numId w:val="1"/>
        </w:numPr>
        <w:spacing w:after="160" w:line="360" w:lineRule="auto"/>
        <w:ind w:left="651"/>
        <w:contextualSpacing/>
        <w:jc w:val="both"/>
        <w:rPr>
          <w:rFonts w:ascii="David" w:eastAsia="Calibri" w:hAnsi="David"/>
          <w:noProof w:val="0"/>
        </w:rPr>
      </w:pPr>
      <w:r w:rsidRPr="00B624D5">
        <w:rPr>
          <w:rFonts w:ascii="David" w:eastAsia="Calibri" w:hAnsi="David"/>
          <w:noProof w:val="0"/>
          <w:rtl/>
        </w:rPr>
        <w:t xml:space="preserve">למעלה מן הצורך ולמען הזהירות אציין </w:t>
      </w:r>
      <w:r w:rsidR="007D3091" w:rsidRPr="00B624D5">
        <w:rPr>
          <w:rFonts w:ascii="David" w:eastAsia="Calibri" w:hAnsi="David" w:hint="cs"/>
          <w:noProof w:val="0"/>
          <w:rtl/>
        </w:rPr>
        <w:t xml:space="preserve">גם לגופם של דברים יש </w:t>
      </w:r>
      <w:r w:rsidRPr="00B624D5">
        <w:rPr>
          <w:rFonts w:ascii="David" w:eastAsia="Calibri" w:hAnsi="David"/>
          <w:noProof w:val="0"/>
          <w:rtl/>
        </w:rPr>
        <w:t>לדחות הטענה, לאחר</w:t>
      </w:r>
      <w:r w:rsidR="00513A06" w:rsidRPr="00B624D5">
        <w:rPr>
          <w:rFonts w:ascii="David" w:eastAsia="Calibri" w:hAnsi="David" w:hint="cs"/>
          <w:noProof w:val="0"/>
          <w:rtl/>
        </w:rPr>
        <w:t xml:space="preserve"> שברירת המחדל הקבועה בחוק יחסי ממון, ובנסיבות דנן - בהסכם שנערך בין הצדדים -  היא איזון כלל המשאבים (חובות וזכויות) שנצברו למי מהם בתקופה הקובעת (היינו עד </w:t>
      </w:r>
      <w:r w:rsidR="00513A06" w:rsidRPr="00B624D5">
        <w:rPr>
          <w:rFonts w:ascii="David" w:eastAsia="Calibri" w:hAnsi="David" w:hint="cs"/>
          <w:noProof w:val="0"/>
          <w:rtl/>
        </w:rPr>
        <w:lastRenderedPageBreak/>
        <w:t xml:space="preserve">למועד הפירוד), ואילו </w:t>
      </w:r>
      <w:r w:rsidR="00513A06" w:rsidRPr="00B624D5">
        <w:rPr>
          <w:rFonts w:ascii="David" w:eastAsia="Calibri" w:hAnsi="David"/>
          <w:noProof w:val="0"/>
          <w:rtl/>
        </w:rPr>
        <w:t xml:space="preserve"> התובע לא פעל להוכחת</w:t>
      </w:r>
      <w:r w:rsidR="00513A06" w:rsidRPr="00B624D5">
        <w:rPr>
          <w:rFonts w:ascii="David" w:eastAsia="Calibri" w:hAnsi="David" w:hint="cs"/>
          <w:noProof w:val="0"/>
          <w:rtl/>
        </w:rPr>
        <w:t xml:space="preserve"> טענתו להחרגת הלוואה זו</w:t>
      </w:r>
      <w:r w:rsidR="007C1787" w:rsidRPr="00B624D5">
        <w:rPr>
          <w:rFonts w:ascii="David" w:eastAsia="Calibri" w:hAnsi="David" w:hint="cs"/>
          <w:noProof w:val="0"/>
          <w:rtl/>
        </w:rPr>
        <w:t xml:space="preserve"> (שניטלה כאמור קודם למועד הקרע)</w:t>
      </w:r>
      <w:r w:rsidR="00513A06" w:rsidRPr="00B624D5">
        <w:rPr>
          <w:rFonts w:ascii="David" w:eastAsia="Calibri" w:hAnsi="David" w:hint="cs"/>
          <w:noProof w:val="0"/>
          <w:rtl/>
        </w:rPr>
        <w:t xml:space="preserve"> ממסת הנכסים לאיזון ביניהם</w:t>
      </w:r>
      <w:r w:rsidRPr="00B624D5">
        <w:rPr>
          <w:rFonts w:ascii="David" w:eastAsia="Calibri" w:hAnsi="David"/>
          <w:noProof w:val="0"/>
          <w:rtl/>
        </w:rPr>
        <w:t xml:space="preserve"> כדבעי, </w:t>
      </w:r>
      <w:r w:rsidR="00513A06" w:rsidRPr="00B624D5">
        <w:rPr>
          <w:rFonts w:ascii="David" w:eastAsia="Calibri" w:hAnsi="David" w:hint="cs"/>
          <w:noProof w:val="0"/>
          <w:rtl/>
        </w:rPr>
        <w:t>ולמרות ש</w:t>
      </w:r>
      <w:r w:rsidRPr="00B624D5">
        <w:rPr>
          <w:rFonts w:ascii="David" w:eastAsia="Calibri" w:hAnsi="David"/>
          <w:noProof w:val="0"/>
          <w:rtl/>
        </w:rPr>
        <w:t>התקיים זה מכבר דיון שנועד לח</w:t>
      </w:r>
      <w:r w:rsidR="00513A06" w:rsidRPr="00B624D5">
        <w:rPr>
          <w:rFonts w:ascii="David" w:eastAsia="Calibri" w:hAnsi="David"/>
          <w:noProof w:val="0"/>
          <w:rtl/>
        </w:rPr>
        <w:t>קירת המומחה על פי בקשת הנתבעת, התובע לא עמד על חקירת</w:t>
      </w:r>
      <w:r w:rsidR="00513A06" w:rsidRPr="00B624D5">
        <w:rPr>
          <w:rFonts w:ascii="David" w:eastAsia="Calibri" w:hAnsi="David" w:hint="cs"/>
          <w:noProof w:val="0"/>
          <w:rtl/>
        </w:rPr>
        <w:t xml:space="preserve"> התובעת</w:t>
      </w:r>
      <w:r w:rsidRPr="00B624D5">
        <w:rPr>
          <w:rFonts w:ascii="David" w:eastAsia="Calibri" w:hAnsi="David"/>
          <w:noProof w:val="0"/>
          <w:rtl/>
        </w:rPr>
        <w:t xml:space="preserve"> לעניין טענתו זו</w:t>
      </w:r>
      <w:r w:rsidR="007D3091" w:rsidRPr="00B624D5">
        <w:rPr>
          <w:rFonts w:ascii="David" w:eastAsia="Calibri" w:hAnsi="David" w:hint="cs"/>
          <w:noProof w:val="0"/>
          <w:rtl/>
        </w:rPr>
        <w:t>.</w:t>
      </w:r>
    </w:p>
    <w:p w:rsidR="00DD6909" w:rsidRDefault="00DD6909" w:rsidP="00DD6909">
      <w:pPr>
        <w:pStyle w:val="ad"/>
        <w:rPr>
          <w:rFonts w:ascii="David" w:eastAsia="Calibri" w:hAnsi="David"/>
          <w:noProof w:val="0"/>
          <w:rtl/>
        </w:rPr>
      </w:pPr>
    </w:p>
    <w:p w:rsidR="00B86247" w:rsidRPr="0076725E" w:rsidRDefault="00B86247" w:rsidP="004F2AF5">
      <w:pPr>
        <w:numPr>
          <w:ilvl w:val="0"/>
          <w:numId w:val="1"/>
        </w:numPr>
        <w:spacing w:after="160" w:line="360" w:lineRule="auto"/>
        <w:ind w:left="651"/>
        <w:contextualSpacing/>
        <w:jc w:val="both"/>
        <w:rPr>
          <w:rFonts w:ascii="David" w:eastAsia="Calibri" w:hAnsi="David"/>
          <w:b/>
          <w:bCs/>
          <w:noProof w:val="0"/>
        </w:rPr>
      </w:pPr>
      <w:r w:rsidRPr="0076725E">
        <w:rPr>
          <w:rFonts w:ascii="David" w:eastAsia="Calibri" w:hAnsi="David" w:hint="cs"/>
          <w:b/>
          <w:bCs/>
          <w:noProof w:val="0"/>
          <w:rtl/>
        </w:rPr>
        <w:t xml:space="preserve">לפיכך, טענת התובע להחרגת ההלוואה האמורה </w:t>
      </w:r>
      <w:r w:rsidRPr="0076725E">
        <w:rPr>
          <w:rFonts w:ascii="David" w:eastAsia="Calibri" w:hAnsi="David"/>
          <w:b/>
          <w:bCs/>
          <w:noProof w:val="0"/>
          <w:rtl/>
        </w:rPr>
        <w:t>–</w:t>
      </w:r>
      <w:r w:rsidRPr="0076725E">
        <w:rPr>
          <w:rFonts w:ascii="David" w:eastAsia="Calibri" w:hAnsi="David" w:hint="cs"/>
          <w:b/>
          <w:bCs/>
          <w:noProof w:val="0"/>
          <w:rtl/>
        </w:rPr>
        <w:t xml:space="preserve"> נדחית.</w:t>
      </w:r>
    </w:p>
    <w:p w:rsidR="007D3091" w:rsidRDefault="007D3091" w:rsidP="007D3091">
      <w:pPr>
        <w:pStyle w:val="ad"/>
        <w:rPr>
          <w:rFonts w:ascii="David" w:eastAsia="Calibri" w:hAnsi="David"/>
          <w:noProof w:val="0"/>
          <w:rtl/>
        </w:rPr>
      </w:pPr>
    </w:p>
    <w:p w:rsidR="001956B0" w:rsidRDefault="001956B0" w:rsidP="00DB78E9">
      <w:pPr>
        <w:spacing w:line="360" w:lineRule="auto"/>
        <w:jc w:val="both"/>
        <w:rPr>
          <w:rFonts w:ascii="David" w:eastAsia="Calibri" w:hAnsi="David"/>
          <w:b/>
          <w:bCs/>
          <w:noProof w:val="0"/>
          <w:sz w:val="26"/>
          <w:szCs w:val="26"/>
          <w:rtl/>
        </w:rPr>
      </w:pPr>
      <w:r w:rsidRPr="0076725E">
        <w:rPr>
          <w:rFonts w:ascii="David" w:eastAsia="Calibri" w:hAnsi="David"/>
          <w:b/>
          <w:bCs/>
          <w:noProof w:val="0"/>
          <w:sz w:val="26"/>
          <w:szCs w:val="26"/>
          <w:rtl/>
        </w:rPr>
        <w:t>ערך המכונית של הנתבעת</w:t>
      </w:r>
    </w:p>
    <w:p w:rsidR="0076725E" w:rsidRPr="0076725E" w:rsidRDefault="0076725E" w:rsidP="001956B0">
      <w:pPr>
        <w:spacing w:line="360" w:lineRule="auto"/>
        <w:ind w:left="291"/>
        <w:jc w:val="both"/>
        <w:rPr>
          <w:rFonts w:ascii="David" w:eastAsia="Calibri" w:hAnsi="David"/>
          <w:noProof w:val="0"/>
          <w:sz w:val="26"/>
          <w:szCs w:val="26"/>
          <w:rtl/>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Pr>
      </w:pPr>
      <w:r w:rsidRPr="0076725E">
        <w:rPr>
          <w:rFonts w:ascii="David" w:eastAsia="Calibri" w:hAnsi="David"/>
          <w:b/>
          <w:bCs/>
          <w:noProof w:val="0"/>
          <w:rtl/>
        </w:rPr>
        <w:t>התובע</w:t>
      </w:r>
      <w:r w:rsidRPr="001956B0">
        <w:rPr>
          <w:rFonts w:ascii="David" w:eastAsia="Calibri" w:hAnsi="David"/>
          <w:noProof w:val="0"/>
          <w:rtl/>
        </w:rPr>
        <w:t xml:space="preserve"> התנגד ל</w:t>
      </w:r>
      <w:r w:rsidR="000507B0">
        <w:rPr>
          <w:rFonts w:ascii="David" w:eastAsia="Calibri" w:hAnsi="David" w:hint="cs"/>
          <w:noProof w:val="0"/>
          <w:rtl/>
        </w:rPr>
        <w:t>הפחתה שערך המומחה מ</w:t>
      </w:r>
      <w:r w:rsidRPr="001956B0">
        <w:rPr>
          <w:rFonts w:ascii="David" w:eastAsia="Calibri" w:hAnsi="David"/>
          <w:noProof w:val="0"/>
          <w:rtl/>
        </w:rPr>
        <w:t xml:space="preserve">שווי הרכב של הנתבעת על פי </w:t>
      </w:r>
      <w:r w:rsidR="000507B0">
        <w:rPr>
          <w:rFonts w:ascii="David" w:eastAsia="Calibri" w:hAnsi="David" w:hint="cs"/>
          <w:noProof w:val="0"/>
          <w:rtl/>
        </w:rPr>
        <w:t xml:space="preserve">המחירון; </w:t>
      </w:r>
      <w:r w:rsidRPr="001956B0">
        <w:rPr>
          <w:rFonts w:ascii="David" w:eastAsia="Calibri" w:hAnsi="David"/>
          <w:noProof w:val="0"/>
          <w:rtl/>
        </w:rPr>
        <w:t xml:space="preserve"> לטענתו לא </w:t>
      </w:r>
      <w:r w:rsidR="0027494C" w:rsidRPr="001956B0">
        <w:rPr>
          <w:rFonts w:ascii="David" w:eastAsia="Calibri" w:hAnsi="David" w:hint="cs"/>
          <w:noProof w:val="0"/>
          <w:rtl/>
        </w:rPr>
        <w:t>היית</w:t>
      </w:r>
      <w:r w:rsidR="0027494C" w:rsidRPr="001956B0">
        <w:rPr>
          <w:rFonts w:ascii="David" w:eastAsia="Calibri" w:hAnsi="David" w:hint="eastAsia"/>
          <w:noProof w:val="0"/>
          <w:rtl/>
        </w:rPr>
        <w:t>ה</w:t>
      </w:r>
      <w:r w:rsidRPr="001956B0">
        <w:rPr>
          <w:rFonts w:ascii="David" w:eastAsia="Calibri" w:hAnsi="David"/>
          <w:noProof w:val="0"/>
          <w:rtl/>
        </w:rPr>
        <w:t xml:space="preserve"> סיבה להפחית 10% מערך הרכב מתחת למחירון לוי יצחק שהנתבעת עצמה צירפה לתצהירה הרכושי כפי שהוגש לתיק ביום 3.10.21, בנסיבות בהן הצדדים הסכימו בסעיף 8 להסכם הפשרה כי שווי רכביהם ייקבע לפי מחירון לוי יצחק יוני 2016. התובע אף ציין כי מדובר ברכב מחוזר ופופולרי אשר נמכר מעל מחיר השוק. לפיכך טען כי לא </w:t>
      </w:r>
      <w:r w:rsidR="0027494C" w:rsidRPr="001956B0">
        <w:rPr>
          <w:rFonts w:ascii="David" w:eastAsia="Calibri" w:hAnsi="David" w:hint="cs"/>
          <w:noProof w:val="0"/>
          <w:rtl/>
        </w:rPr>
        <w:t>היית</w:t>
      </w:r>
      <w:r w:rsidR="0027494C" w:rsidRPr="001956B0">
        <w:rPr>
          <w:rFonts w:ascii="David" w:eastAsia="Calibri" w:hAnsi="David" w:hint="eastAsia"/>
          <w:noProof w:val="0"/>
          <w:rtl/>
        </w:rPr>
        <w:t>ה</w:t>
      </w:r>
      <w:r w:rsidRPr="001956B0">
        <w:rPr>
          <w:rFonts w:ascii="David" w:eastAsia="Calibri" w:hAnsi="David"/>
          <w:noProof w:val="0"/>
          <w:rtl/>
        </w:rPr>
        <w:t xml:space="preserve"> כל סיבה לחלוק על מחירון רכב מקובל שהנתבעת עצמה נסמכה עליו והצדדים התנו לגביו במפורש. המומחה ציין בחוות דעתו כי הוא אינו שמאי רכב ובכל זאת חלק על מחירון של שמאי מס' 1 בארץ באופן שחורג מהסכמות הצדדים בהסכם ביניהם. לאור חישוביו בהתאם למחירון לוי יצחק (סעיף 110 לסיכומיו) עתר להורות כי מחיר הרכב לאיזון נכון למועד הקובע הינו 143,000 ₪ ולא 127,800 ₪ כפי שקבע המומחה בחו</w:t>
      </w:r>
      <w:r w:rsidR="00122B0C">
        <w:rPr>
          <w:rFonts w:ascii="David" w:eastAsia="Calibri" w:hAnsi="David" w:hint="cs"/>
          <w:noProof w:val="0"/>
          <w:rtl/>
        </w:rPr>
        <w:t>ו</w:t>
      </w:r>
      <w:r w:rsidRPr="001956B0">
        <w:rPr>
          <w:rFonts w:ascii="David" w:eastAsia="Calibri" w:hAnsi="David"/>
          <w:noProof w:val="0"/>
          <w:rtl/>
        </w:rPr>
        <w:t>ת דעתו (עמ' 4 לחווה"ד), באופן שיש להוסיף לנכסי הנתבעת סך של 15,400 ₪.</w:t>
      </w:r>
    </w:p>
    <w:p w:rsidR="001956B0" w:rsidRPr="001956B0" w:rsidRDefault="001956B0" w:rsidP="001956B0">
      <w:pPr>
        <w:spacing w:line="360" w:lineRule="auto"/>
        <w:ind w:left="651"/>
        <w:contextualSpacing/>
        <w:jc w:val="both"/>
        <w:rPr>
          <w:rFonts w:ascii="David" w:eastAsia="Calibri" w:hAnsi="David"/>
          <w:noProof w:val="0"/>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Pr>
      </w:pPr>
      <w:r w:rsidRPr="0076725E">
        <w:rPr>
          <w:rFonts w:ascii="David" w:eastAsia="Calibri" w:hAnsi="David"/>
          <w:b/>
          <w:bCs/>
          <w:noProof w:val="0"/>
          <w:rtl/>
        </w:rPr>
        <w:t>הנתבעת</w:t>
      </w:r>
      <w:r w:rsidRPr="001956B0">
        <w:rPr>
          <w:rFonts w:ascii="David" w:eastAsia="Calibri" w:hAnsi="David"/>
          <w:noProof w:val="0"/>
          <w:rtl/>
        </w:rPr>
        <w:t xml:space="preserve"> עתרה לקבל את חווה"ד של המומחה לעניין זה וטענה כי התובע לא הביא כל הוכחה לכך שהרכב נמכר מעל למחיר השוק. לדבריה המומחה נקב במחיר המופחת לאור ניסיונו כי מחירון לוי יצחק נועד לשרת את חברות הביטוח לצורך קביעת דמי הפוליסה ומכך הוא גבוה ממחיר השוק ובפועל הקונים נוהגים להפחית ממנו כ-10% בצורה גורפת.</w:t>
      </w:r>
    </w:p>
    <w:p w:rsidR="001956B0" w:rsidRPr="001956B0" w:rsidRDefault="001956B0" w:rsidP="001956B0">
      <w:pPr>
        <w:spacing w:after="160" w:line="256" w:lineRule="auto"/>
        <w:ind w:left="720"/>
        <w:contextualSpacing/>
        <w:rPr>
          <w:rFonts w:ascii="David" w:eastAsia="Calibri" w:hAnsi="David"/>
          <w:noProof w:val="0"/>
        </w:rPr>
      </w:pPr>
    </w:p>
    <w:p w:rsidR="000507B0" w:rsidRDefault="0076725E" w:rsidP="004F2AF5">
      <w:pPr>
        <w:numPr>
          <w:ilvl w:val="0"/>
          <w:numId w:val="1"/>
        </w:numPr>
        <w:spacing w:line="360" w:lineRule="auto"/>
        <w:ind w:left="651"/>
        <w:contextualSpacing/>
        <w:jc w:val="both"/>
        <w:rPr>
          <w:rFonts w:ascii="David" w:eastAsia="Calibri" w:hAnsi="David"/>
          <w:noProof w:val="0"/>
        </w:rPr>
      </w:pPr>
      <w:r w:rsidRPr="0076725E">
        <w:rPr>
          <w:rFonts w:ascii="David" w:eastAsia="Calibri" w:hAnsi="David" w:hint="cs"/>
          <w:b/>
          <w:bCs/>
          <w:noProof w:val="0"/>
          <w:rtl/>
        </w:rPr>
        <w:t>המומחה</w:t>
      </w:r>
      <w:r>
        <w:rPr>
          <w:rFonts w:ascii="David" w:eastAsia="Calibri" w:hAnsi="David" w:hint="cs"/>
          <w:noProof w:val="0"/>
          <w:rtl/>
        </w:rPr>
        <w:t xml:space="preserve"> העיד </w:t>
      </w:r>
      <w:r w:rsidR="000507B0" w:rsidRPr="001956B0">
        <w:rPr>
          <w:rFonts w:ascii="David" w:eastAsia="Calibri" w:hAnsi="David"/>
          <w:noProof w:val="0"/>
          <w:rtl/>
        </w:rPr>
        <w:t xml:space="preserve">בחקירתו כי </w:t>
      </w:r>
      <w:r w:rsidR="000507B0">
        <w:rPr>
          <w:rFonts w:ascii="David" w:eastAsia="Calibri" w:hAnsi="David" w:hint="cs"/>
          <w:noProof w:val="0"/>
          <w:rtl/>
        </w:rPr>
        <w:t xml:space="preserve">בוצעה הפחתה משווי המחירון אולם הבהיר כי הערכתו לעניין שווי הרכב אינה מחייבת: </w:t>
      </w:r>
      <w:r w:rsidR="000507B0" w:rsidRPr="001956B0">
        <w:rPr>
          <w:rFonts w:ascii="David" w:eastAsia="Calibri" w:hAnsi="David"/>
          <w:noProof w:val="0"/>
          <w:rtl/>
        </w:rPr>
        <w:t>"</w:t>
      </w:r>
      <w:r w:rsidR="000507B0" w:rsidRPr="001956B0">
        <w:rPr>
          <w:rFonts w:ascii="David" w:eastAsia="Calibri" w:hAnsi="David"/>
          <w:b/>
          <w:bCs/>
          <w:noProof w:val="0"/>
          <w:rtl/>
        </w:rPr>
        <w:t>חוו"ד עמ' 4, מחיר שוק מוערך הורדתי 10% ממחיר השוק, ידיעה שיפוטית שלי למחירים והוספתי שאינני שמאי רכב</w:t>
      </w:r>
      <w:r w:rsidR="000507B0" w:rsidRPr="001956B0">
        <w:rPr>
          <w:rFonts w:ascii="David" w:eastAsia="Calibri" w:hAnsi="David"/>
          <w:noProof w:val="0"/>
          <w:rtl/>
        </w:rPr>
        <w:t>" (שורות 14-15 עמ' 29 לפרוט'); "</w:t>
      </w:r>
      <w:r w:rsidR="000507B0" w:rsidRPr="001956B0">
        <w:rPr>
          <w:rFonts w:ascii="David" w:eastAsia="Calibri" w:hAnsi="David"/>
          <w:b/>
          <w:bCs/>
          <w:noProof w:val="0"/>
          <w:rtl/>
        </w:rPr>
        <w:t>רציתי לחסוך להם את הדוח שמאי ולכן הצעתי אפשרות לחישוב אך ככל שרוצים חישוב מדויק יש לפנות לשמאי מוסמך</w:t>
      </w:r>
      <w:r w:rsidR="000507B0" w:rsidRPr="001956B0">
        <w:rPr>
          <w:rFonts w:ascii="David" w:eastAsia="Calibri" w:hAnsi="David"/>
          <w:noProof w:val="0"/>
          <w:rtl/>
        </w:rPr>
        <w:t>" (שורות 23-24 עמ' 29 לפרוט').</w:t>
      </w:r>
    </w:p>
    <w:p w:rsidR="000507B0" w:rsidRDefault="000507B0" w:rsidP="0027494C">
      <w:pPr>
        <w:pStyle w:val="ad"/>
        <w:spacing w:line="360" w:lineRule="auto"/>
        <w:rPr>
          <w:rFonts w:ascii="David" w:eastAsia="Calibri" w:hAnsi="David"/>
          <w:noProof w:val="0"/>
          <w:rtl/>
        </w:rPr>
      </w:pPr>
    </w:p>
    <w:p w:rsidR="0027494C" w:rsidRDefault="000507B0" w:rsidP="004F2AF5">
      <w:pPr>
        <w:numPr>
          <w:ilvl w:val="0"/>
          <w:numId w:val="1"/>
        </w:numPr>
        <w:spacing w:line="360" w:lineRule="auto"/>
        <w:ind w:left="651"/>
        <w:contextualSpacing/>
        <w:jc w:val="both"/>
        <w:rPr>
          <w:rFonts w:ascii="David" w:eastAsia="Calibri" w:hAnsi="David"/>
          <w:noProof w:val="0"/>
        </w:rPr>
      </w:pPr>
      <w:r>
        <w:rPr>
          <w:rFonts w:ascii="David" w:eastAsia="Calibri" w:hAnsi="David" w:hint="cs"/>
          <w:noProof w:val="0"/>
          <w:rtl/>
        </w:rPr>
        <w:t>המומחה הבהיר בחוו"ד כי מדובר ב</w:t>
      </w:r>
      <w:r w:rsidR="001956B0" w:rsidRPr="001956B0">
        <w:rPr>
          <w:rFonts w:ascii="David" w:eastAsia="Calibri" w:hAnsi="David"/>
          <w:noProof w:val="0"/>
          <w:rtl/>
        </w:rPr>
        <w:t>"</w:t>
      </w:r>
      <w:r w:rsidR="001956B0" w:rsidRPr="001956B0">
        <w:rPr>
          <w:rFonts w:ascii="David" w:eastAsia="Calibri" w:hAnsi="David"/>
          <w:b/>
          <w:bCs/>
          <w:noProof w:val="0"/>
          <w:rtl/>
        </w:rPr>
        <w:t>מחיר שוק מוערך – אינני שמאי רכב בהעדר הסכמה יש למנות שמאי רכב</w:t>
      </w:r>
      <w:r w:rsidR="001956B0" w:rsidRPr="001956B0">
        <w:rPr>
          <w:rFonts w:ascii="David" w:eastAsia="Calibri" w:hAnsi="David"/>
          <w:noProof w:val="0"/>
          <w:rtl/>
        </w:rPr>
        <w:t>".</w:t>
      </w:r>
    </w:p>
    <w:p w:rsidR="0027494C" w:rsidRDefault="0027494C" w:rsidP="0027494C">
      <w:pPr>
        <w:pStyle w:val="ad"/>
        <w:spacing w:line="360" w:lineRule="auto"/>
        <w:rPr>
          <w:rFonts w:ascii="David" w:eastAsia="Calibri" w:hAnsi="David"/>
          <w:noProof w:val="0"/>
          <w:rtl/>
        </w:rPr>
      </w:pPr>
    </w:p>
    <w:p w:rsidR="000507B0" w:rsidRPr="0027494C" w:rsidRDefault="001956B0" w:rsidP="004F2AF5">
      <w:pPr>
        <w:numPr>
          <w:ilvl w:val="0"/>
          <w:numId w:val="1"/>
        </w:numPr>
        <w:spacing w:line="360" w:lineRule="auto"/>
        <w:ind w:left="651"/>
        <w:contextualSpacing/>
        <w:jc w:val="both"/>
        <w:rPr>
          <w:rFonts w:ascii="David" w:eastAsia="Calibri" w:hAnsi="David"/>
          <w:noProof w:val="0"/>
        </w:rPr>
      </w:pPr>
      <w:r w:rsidRPr="0027494C">
        <w:rPr>
          <w:rFonts w:ascii="David" w:eastAsia="Calibri" w:hAnsi="David"/>
          <w:noProof w:val="0"/>
          <w:rtl/>
        </w:rPr>
        <w:t xml:space="preserve">סעיף 8 להסכם הפשרה </w:t>
      </w:r>
      <w:r w:rsidR="000507B0" w:rsidRPr="0027494C">
        <w:rPr>
          <w:rFonts w:ascii="David" w:eastAsia="Calibri" w:hAnsi="David" w:hint="cs"/>
          <w:noProof w:val="0"/>
          <w:rtl/>
        </w:rPr>
        <w:t xml:space="preserve">שקיבל תוקף של החלטה </w:t>
      </w:r>
      <w:r w:rsidRPr="0027494C">
        <w:rPr>
          <w:rFonts w:ascii="David" w:eastAsia="Calibri" w:hAnsi="David"/>
          <w:noProof w:val="0"/>
          <w:rtl/>
        </w:rPr>
        <w:t xml:space="preserve">קובע כי "...האיזון יתבצע כפי ערכם של שני הרכבים בעת המועד הקובע לאיזון, </w:t>
      </w:r>
      <w:r w:rsidRPr="0027494C">
        <w:rPr>
          <w:rFonts w:ascii="David" w:eastAsia="Calibri" w:hAnsi="David"/>
          <w:b/>
          <w:bCs/>
          <w:noProof w:val="0"/>
          <w:rtl/>
        </w:rPr>
        <w:t>לפי מחירון יוני 2016 של השמאי לוי יצחק</w:t>
      </w:r>
      <w:r w:rsidRPr="0027494C">
        <w:rPr>
          <w:rFonts w:ascii="David" w:eastAsia="Calibri" w:hAnsi="David"/>
          <w:noProof w:val="0"/>
          <w:rtl/>
        </w:rPr>
        <w:t>",</w:t>
      </w:r>
      <w:r w:rsidR="00122B0C">
        <w:rPr>
          <w:rFonts w:ascii="David" w:eastAsia="Calibri" w:hAnsi="David" w:hint="cs"/>
          <w:noProof w:val="0"/>
          <w:rtl/>
        </w:rPr>
        <w:t xml:space="preserve"> מבלי שצו</w:t>
      </w:r>
      <w:r w:rsidR="007D3091" w:rsidRPr="0027494C">
        <w:rPr>
          <w:rFonts w:ascii="David" w:eastAsia="Calibri" w:hAnsi="David" w:hint="cs"/>
          <w:noProof w:val="0"/>
          <w:rtl/>
        </w:rPr>
        <w:t>ינה הפחתה כלשהי</w:t>
      </w:r>
      <w:r w:rsidR="000507B0" w:rsidRPr="0027494C">
        <w:rPr>
          <w:rFonts w:ascii="David" w:eastAsia="Calibri" w:hAnsi="David" w:hint="cs"/>
          <w:noProof w:val="0"/>
          <w:rtl/>
        </w:rPr>
        <w:t>.</w:t>
      </w:r>
    </w:p>
    <w:p w:rsidR="000507B0" w:rsidRDefault="000507B0" w:rsidP="0027494C">
      <w:pPr>
        <w:pStyle w:val="ad"/>
        <w:spacing w:line="360" w:lineRule="auto"/>
        <w:rPr>
          <w:rFonts w:ascii="David" w:eastAsia="Calibri" w:hAnsi="David"/>
          <w:noProof w:val="0"/>
          <w:rtl/>
        </w:rPr>
      </w:pPr>
    </w:p>
    <w:p w:rsidR="000507B0" w:rsidRDefault="000507B0" w:rsidP="004F2AF5">
      <w:pPr>
        <w:numPr>
          <w:ilvl w:val="0"/>
          <w:numId w:val="1"/>
        </w:numPr>
        <w:spacing w:line="360" w:lineRule="auto"/>
        <w:ind w:left="651"/>
        <w:contextualSpacing/>
        <w:jc w:val="both"/>
        <w:rPr>
          <w:rFonts w:ascii="David" w:eastAsia="Calibri" w:hAnsi="David"/>
          <w:noProof w:val="0"/>
        </w:rPr>
      </w:pPr>
      <w:r w:rsidRPr="000507B0">
        <w:rPr>
          <w:rFonts w:ascii="David" w:eastAsia="Calibri" w:hAnsi="David" w:hint="cs"/>
          <w:noProof w:val="0"/>
          <w:rtl/>
        </w:rPr>
        <w:t xml:space="preserve">לנוכח </w:t>
      </w:r>
      <w:r w:rsidRPr="000507B0">
        <w:rPr>
          <w:rFonts w:ascii="David" w:eastAsia="Calibri" w:hAnsi="David" w:hint="cs"/>
          <w:b/>
          <w:bCs/>
          <w:noProof w:val="0"/>
          <w:rtl/>
        </w:rPr>
        <w:t>הסכמתם המפורשת של הצדדים</w:t>
      </w:r>
      <w:r w:rsidRPr="000507B0">
        <w:rPr>
          <w:rFonts w:ascii="David" w:eastAsia="Calibri" w:hAnsi="David" w:hint="cs"/>
          <w:noProof w:val="0"/>
          <w:rtl/>
        </w:rPr>
        <w:t xml:space="preserve"> לעניין הרכב</w:t>
      </w:r>
      <w:r w:rsidR="007D3091" w:rsidRPr="000507B0">
        <w:rPr>
          <w:rFonts w:ascii="David" w:eastAsia="Calibri" w:hAnsi="David" w:hint="cs"/>
          <w:noProof w:val="0"/>
          <w:rtl/>
        </w:rPr>
        <w:t xml:space="preserve">, </w:t>
      </w:r>
      <w:r>
        <w:rPr>
          <w:rFonts w:ascii="David" w:eastAsia="Calibri" w:hAnsi="David" w:hint="cs"/>
          <w:noProof w:val="0"/>
          <w:rtl/>
        </w:rPr>
        <w:t>אין לאפשר הפחתה משווי הרכב, אלא על המומחה לחשב את שווי הרכב בהתאם למחירון שהוסכם.</w:t>
      </w:r>
    </w:p>
    <w:p w:rsidR="000507B0" w:rsidRPr="000507B0" w:rsidRDefault="000507B0" w:rsidP="000507B0">
      <w:pPr>
        <w:pStyle w:val="ad"/>
        <w:rPr>
          <w:rFonts w:ascii="David" w:eastAsia="Calibri" w:hAnsi="David"/>
          <w:noProof w:val="0"/>
          <w:rtl/>
        </w:rPr>
      </w:pPr>
    </w:p>
    <w:p w:rsidR="001956B0" w:rsidRPr="000507B0" w:rsidRDefault="000507B0" w:rsidP="004F2AF5">
      <w:pPr>
        <w:numPr>
          <w:ilvl w:val="0"/>
          <w:numId w:val="1"/>
        </w:numPr>
        <w:spacing w:after="160" w:line="360" w:lineRule="auto"/>
        <w:ind w:left="651"/>
        <w:contextualSpacing/>
        <w:jc w:val="both"/>
        <w:rPr>
          <w:rFonts w:ascii="David" w:eastAsia="Calibri" w:hAnsi="David"/>
          <w:noProof w:val="0"/>
          <w:rtl/>
        </w:rPr>
      </w:pPr>
      <w:r>
        <w:rPr>
          <w:rFonts w:ascii="David" w:eastAsia="Calibri" w:hAnsi="David" w:hint="cs"/>
          <w:noProof w:val="0"/>
          <w:rtl/>
        </w:rPr>
        <w:t>משעה ש</w:t>
      </w:r>
      <w:r w:rsidR="001956B0" w:rsidRPr="000507B0">
        <w:rPr>
          <w:rFonts w:ascii="David" w:eastAsia="Calibri" w:hAnsi="David"/>
          <w:noProof w:val="0"/>
          <w:rtl/>
        </w:rPr>
        <w:t>הנתבעת לא כפרה בשווי הרכב הנטען על פי מחירון לוי יצחק אליו הפנה התובע בסיכומיו</w:t>
      </w:r>
      <w:r w:rsidR="007D3091" w:rsidRPr="000507B0">
        <w:rPr>
          <w:rFonts w:ascii="David" w:eastAsia="Calibri" w:hAnsi="David" w:hint="cs"/>
          <w:noProof w:val="0"/>
          <w:rtl/>
        </w:rPr>
        <w:t xml:space="preserve"> </w:t>
      </w:r>
      <w:r w:rsidR="001956B0" w:rsidRPr="000507B0">
        <w:rPr>
          <w:rFonts w:ascii="David" w:eastAsia="Calibri" w:hAnsi="David"/>
          <w:noProof w:val="0"/>
          <w:rtl/>
        </w:rPr>
        <w:t>(שצורף על ידי הנתבעת עצמה לתצהירה הרכושי מיום 3.10.21), ובטענות התובע אודות שווי הרכב לנוכח עלייתו לכביש בחודש מרץ 2015 (סעיף 110 לסיכומיו), אני מוצאת לקבל טענת התובע לעניין שווי הרכב הנטען.</w:t>
      </w:r>
    </w:p>
    <w:p w:rsidR="001956B0" w:rsidRPr="001956B0" w:rsidRDefault="001956B0" w:rsidP="001956B0">
      <w:pPr>
        <w:spacing w:after="160" w:line="256" w:lineRule="auto"/>
        <w:ind w:left="720"/>
        <w:contextualSpacing/>
        <w:rPr>
          <w:rFonts w:ascii="David" w:eastAsia="Calibri" w:hAnsi="David"/>
          <w:noProof w:val="0"/>
        </w:rPr>
      </w:pPr>
    </w:p>
    <w:p w:rsidR="001956B0" w:rsidRPr="0076725E" w:rsidRDefault="001956B0" w:rsidP="004F2AF5">
      <w:pPr>
        <w:numPr>
          <w:ilvl w:val="0"/>
          <w:numId w:val="1"/>
        </w:numPr>
        <w:spacing w:after="160" w:line="360" w:lineRule="auto"/>
        <w:ind w:left="651"/>
        <w:contextualSpacing/>
        <w:jc w:val="both"/>
        <w:rPr>
          <w:rFonts w:ascii="David" w:eastAsia="Calibri" w:hAnsi="David"/>
          <w:b/>
          <w:bCs/>
          <w:noProof w:val="0"/>
          <w:rtl/>
        </w:rPr>
      </w:pPr>
      <w:r w:rsidRPr="0076725E">
        <w:rPr>
          <w:rFonts w:ascii="David" w:eastAsia="Calibri" w:hAnsi="David"/>
          <w:b/>
          <w:bCs/>
          <w:noProof w:val="0"/>
          <w:rtl/>
        </w:rPr>
        <w:t>לאור האמור המומחה מתבקש לעדכן חוות דעתו ולהוסיף ההפרש האמור, בסך 15,400 ₪ לנכסי הנתבעת.</w:t>
      </w:r>
    </w:p>
    <w:p w:rsidR="00696068" w:rsidRDefault="00696068" w:rsidP="001956B0">
      <w:pPr>
        <w:spacing w:after="160" w:line="256" w:lineRule="auto"/>
        <w:ind w:left="720"/>
        <w:contextualSpacing/>
        <w:rPr>
          <w:rFonts w:ascii="David" w:eastAsia="Calibri" w:hAnsi="David"/>
          <w:b/>
          <w:bCs/>
          <w:noProof w:val="0"/>
          <w:rtl/>
        </w:rPr>
      </w:pPr>
    </w:p>
    <w:p w:rsidR="001956B0" w:rsidRPr="0076725E" w:rsidRDefault="001956B0" w:rsidP="0076725E">
      <w:pPr>
        <w:spacing w:after="160" w:line="256" w:lineRule="auto"/>
        <w:contextualSpacing/>
        <w:rPr>
          <w:rFonts w:ascii="David" w:eastAsia="Calibri" w:hAnsi="David"/>
          <w:b/>
          <w:bCs/>
          <w:noProof w:val="0"/>
          <w:sz w:val="26"/>
          <w:szCs w:val="26"/>
          <w:rtl/>
        </w:rPr>
      </w:pPr>
      <w:r w:rsidRPr="0076725E">
        <w:rPr>
          <w:rFonts w:ascii="David" w:eastAsia="Calibri" w:hAnsi="David"/>
          <w:b/>
          <w:bCs/>
          <w:noProof w:val="0"/>
          <w:sz w:val="26"/>
          <w:szCs w:val="26"/>
          <w:rtl/>
        </w:rPr>
        <w:t>שערוך הסכומים שבחוות הדעת</w:t>
      </w:r>
    </w:p>
    <w:p w:rsidR="001956B0" w:rsidRPr="001956B0" w:rsidRDefault="001956B0" w:rsidP="001956B0">
      <w:pPr>
        <w:spacing w:line="360" w:lineRule="auto"/>
        <w:ind w:left="651"/>
        <w:contextualSpacing/>
        <w:jc w:val="both"/>
        <w:rPr>
          <w:rFonts w:ascii="David" w:eastAsia="Calibri" w:hAnsi="David"/>
          <w:noProof w:val="0"/>
          <w:rtl/>
        </w:rPr>
      </w:pPr>
    </w:p>
    <w:p w:rsidR="001956B0" w:rsidRPr="001956B0" w:rsidRDefault="000507B0" w:rsidP="004F2AF5">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t xml:space="preserve">בסיום סיכומיו עתר התובע לקביעת אופן שיערוך הסכום שנקבע בחוות הדעת לנוכח </w:t>
      </w:r>
      <w:r w:rsidR="001956B0" w:rsidRPr="001956B0">
        <w:rPr>
          <w:rFonts w:ascii="David" w:eastAsia="Calibri" w:hAnsi="David"/>
          <w:noProof w:val="0"/>
          <w:rtl/>
        </w:rPr>
        <w:t>הערת המומחה בסוף חוות דעתו לפיה "</w:t>
      </w:r>
      <w:r w:rsidR="001956B0" w:rsidRPr="001956B0">
        <w:rPr>
          <w:rFonts w:ascii="David" w:eastAsia="Calibri" w:hAnsi="David"/>
          <w:b/>
          <w:bCs/>
          <w:noProof w:val="0"/>
          <w:rtl/>
        </w:rPr>
        <w:t>ממועד הקרע ועד היום חלו שינויים בשווי הנכסים וההפרש להעברה ישא הצמדה/ריבית והצמדה ע"פ החלטת בימ"ש</w:t>
      </w:r>
      <w:r w:rsidR="001956B0" w:rsidRPr="001956B0">
        <w:rPr>
          <w:rFonts w:ascii="David" w:eastAsia="Calibri" w:hAnsi="David"/>
          <w:noProof w:val="0"/>
          <w:rtl/>
        </w:rPr>
        <w:t>".</w:t>
      </w:r>
    </w:p>
    <w:p w:rsidR="001956B0" w:rsidRPr="001956B0" w:rsidRDefault="001956B0" w:rsidP="001956B0">
      <w:pPr>
        <w:spacing w:line="360" w:lineRule="auto"/>
        <w:ind w:left="651"/>
        <w:contextualSpacing/>
        <w:jc w:val="both"/>
        <w:rPr>
          <w:rFonts w:ascii="David" w:eastAsia="Calibri" w:hAnsi="David"/>
          <w:noProof w:val="0"/>
        </w:rPr>
      </w:pPr>
    </w:p>
    <w:p w:rsidR="000507B0" w:rsidRDefault="001956B0" w:rsidP="004F2AF5">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b/>
          <w:bCs/>
          <w:noProof w:val="0"/>
          <w:rtl/>
        </w:rPr>
        <w:t>לטענת התובע</w:t>
      </w:r>
      <w:r w:rsidRPr="001956B0">
        <w:rPr>
          <w:rFonts w:ascii="David" w:eastAsia="Calibri" w:hAnsi="David"/>
          <w:noProof w:val="0"/>
          <w:rtl/>
        </w:rPr>
        <w:t xml:space="preserve">, אין הצדקה לשערך סכום זה בהפרשי הצמדה וריבית כדין שהרי לא מדובר בחוב שלא נפרע. </w:t>
      </w:r>
    </w:p>
    <w:p w:rsidR="00122B0C" w:rsidRDefault="00122B0C" w:rsidP="00122B0C">
      <w:pPr>
        <w:spacing w:after="160" w:line="360" w:lineRule="auto"/>
        <w:ind w:left="651"/>
        <w:contextualSpacing/>
        <w:jc w:val="both"/>
        <w:rPr>
          <w:rFonts w:ascii="David" w:eastAsia="Calibri" w:hAnsi="David"/>
          <w:noProof w:val="0"/>
        </w:rPr>
      </w:pPr>
    </w:p>
    <w:p w:rsidR="001956B0" w:rsidRPr="001956B0" w:rsidRDefault="000507B0" w:rsidP="004F2AF5">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t xml:space="preserve">כמו כן </w:t>
      </w:r>
      <w:r w:rsidR="001956B0" w:rsidRPr="001956B0">
        <w:rPr>
          <w:rFonts w:ascii="David" w:eastAsia="Calibri" w:hAnsi="David"/>
          <w:noProof w:val="0"/>
          <w:rtl/>
        </w:rPr>
        <w:t xml:space="preserve">עתר להצמיד </w:t>
      </w:r>
      <w:r w:rsidR="00122B0C">
        <w:rPr>
          <w:rFonts w:ascii="David" w:eastAsia="Calibri" w:hAnsi="David" w:hint="cs"/>
          <w:noProof w:val="0"/>
          <w:rtl/>
        </w:rPr>
        <w:t xml:space="preserve">בנוסף </w:t>
      </w:r>
      <w:r w:rsidR="001956B0" w:rsidRPr="001956B0">
        <w:rPr>
          <w:rFonts w:ascii="David" w:eastAsia="Calibri" w:hAnsi="David"/>
          <w:noProof w:val="0"/>
          <w:rtl/>
        </w:rPr>
        <w:t>את הסכום הנקוב בהסכם של 409,125 ₪ יתרת תמורת הדירה שלא שולמה עדיין ע"י הנתבעת וזאת החל מיום 2.5.21 (המועד בו ניתן להסכם תוקף בהחלטת ביהמ"ש) ועד למועד תשלומו בפועל למצער על פי אותו מנגנון הצמדה וריבית שיפסוק לגבי הסכומים הכלולים בחוו"ד המומחה, משלל הטעמים שמנה בסעיף 127 לסיכומיו.</w:t>
      </w:r>
    </w:p>
    <w:p w:rsidR="001956B0" w:rsidRPr="000507B0" w:rsidRDefault="001956B0" w:rsidP="001956B0">
      <w:pPr>
        <w:spacing w:line="360" w:lineRule="auto"/>
        <w:ind w:left="651"/>
        <w:contextualSpacing/>
        <w:jc w:val="both"/>
        <w:rPr>
          <w:rFonts w:ascii="David" w:eastAsia="Calibri" w:hAnsi="David"/>
          <w:noProof w:val="0"/>
        </w:rPr>
      </w:pPr>
    </w:p>
    <w:p w:rsidR="000507B0" w:rsidRDefault="001956B0" w:rsidP="004F2AF5">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b/>
          <w:bCs/>
          <w:noProof w:val="0"/>
          <w:rtl/>
        </w:rPr>
        <w:t>הנתבעת התנגדה לכך</w:t>
      </w:r>
      <w:r w:rsidRPr="001956B0">
        <w:rPr>
          <w:rFonts w:ascii="David" w:eastAsia="Calibri" w:hAnsi="David"/>
          <w:noProof w:val="0"/>
          <w:rtl/>
        </w:rPr>
        <w:t xml:space="preserve"> </w:t>
      </w:r>
      <w:r w:rsidRPr="001956B0">
        <w:rPr>
          <w:rFonts w:ascii="David" w:eastAsia="Calibri" w:hAnsi="David"/>
          <w:b/>
          <w:bCs/>
          <w:noProof w:val="0"/>
          <w:rtl/>
        </w:rPr>
        <w:t>וטענה</w:t>
      </w:r>
      <w:r w:rsidRPr="001956B0">
        <w:rPr>
          <w:rFonts w:ascii="David" w:eastAsia="Calibri" w:hAnsi="David"/>
          <w:noProof w:val="0"/>
          <w:rtl/>
        </w:rPr>
        <w:t xml:space="preserve"> כי שיערוך הסכומים המגיעים על פי חוות הדעת הוא כדין. </w:t>
      </w:r>
    </w:p>
    <w:p w:rsidR="000507B0" w:rsidRDefault="000507B0" w:rsidP="000507B0">
      <w:pPr>
        <w:pStyle w:val="ad"/>
        <w:rPr>
          <w:rFonts w:ascii="David" w:eastAsia="Calibri" w:hAnsi="David"/>
          <w:noProof w:val="0"/>
          <w:rtl/>
        </w:rPr>
      </w:pPr>
    </w:p>
    <w:p w:rsidR="001956B0" w:rsidRPr="001956B0" w:rsidRDefault="001956B0" w:rsidP="004F2AF5">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noProof w:val="0"/>
          <w:rtl/>
        </w:rPr>
        <w:t xml:space="preserve">באשר לסך של 409,125 ₪ ממחיר הדירה טענה </w:t>
      </w:r>
      <w:r w:rsidR="000507B0">
        <w:rPr>
          <w:rFonts w:ascii="David" w:eastAsia="Calibri" w:hAnsi="David" w:hint="cs"/>
          <w:noProof w:val="0"/>
          <w:rtl/>
        </w:rPr>
        <w:t xml:space="preserve">הנתבעת </w:t>
      </w:r>
      <w:r w:rsidRPr="001956B0">
        <w:rPr>
          <w:rFonts w:ascii="David" w:eastAsia="Calibri" w:hAnsi="David"/>
          <w:noProof w:val="0"/>
          <w:rtl/>
        </w:rPr>
        <w:t>כי סכום זה לא הוצמד בהסכם ואינו כלול</w:t>
      </w:r>
      <w:r w:rsidR="0076725E">
        <w:rPr>
          <w:rFonts w:ascii="David" w:eastAsia="Calibri" w:hAnsi="David"/>
          <w:noProof w:val="0"/>
          <w:rtl/>
        </w:rPr>
        <w:t xml:space="preserve"> בחווה"ד ולפיכך אין שום עילה חו</w:t>
      </w:r>
      <w:r w:rsidR="0076725E">
        <w:rPr>
          <w:rFonts w:ascii="David" w:eastAsia="Calibri" w:hAnsi="David" w:hint="cs"/>
          <w:noProof w:val="0"/>
          <w:rtl/>
        </w:rPr>
        <w:t>ק</w:t>
      </w:r>
      <w:r w:rsidRPr="001956B0">
        <w:rPr>
          <w:rFonts w:ascii="David" w:eastAsia="Calibri" w:hAnsi="David"/>
          <w:noProof w:val="0"/>
          <w:rtl/>
        </w:rPr>
        <w:t>ית להורות על הצמדתו כפי שהתובע דורש.</w:t>
      </w:r>
    </w:p>
    <w:p w:rsidR="001956B0" w:rsidRPr="001956B0" w:rsidRDefault="001956B0" w:rsidP="001956B0">
      <w:pPr>
        <w:spacing w:line="360" w:lineRule="auto"/>
        <w:ind w:left="651"/>
        <w:contextualSpacing/>
        <w:jc w:val="both"/>
        <w:rPr>
          <w:rFonts w:ascii="David" w:eastAsia="Calibri" w:hAnsi="David"/>
          <w:noProof w:val="0"/>
        </w:rPr>
      </w:pPr>
    </w:p>
    <w:p w:rsidR="001956B0" w:rsidRDefault="007D3091" w:rsidP="00A57039">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t>מעיון בטענות</w:t>
      </w:r>
      <w:r w:rsidR="001956B0" w:rsidRPr="001956B0">
        <w:rPr>
          <w:rFonts w:ascii="David" w:eastAsia="Calibri" w:hAnsi="David"/>
          <w:noProof w:val="0"/>
          <w:rtl/>
        </w:rPr>
        <w:t xml:space="preserve"> התובע, הרי שטענתו זו </w:t>
      </w:r>
      <w:r w:rsidR="000507B0">
        <w:rPr>
          <w:rFonts w:ascii="David" w:eastAsia="Calibri" w:hAnsi="David" w:hint="cs"/>
          <w:noProof w:val="0"/>
          <w:rtl/>
        </w:rPr>
        <w:t xml:space="preserve">להיעדר שיערוך </w:t>
      </w:r>
      <w:r w:rsidR="001956B0" w:rsidRPr="001956B0">
        <w:rPr>
          <w:rFonts w:ascii="David" w:eastAsia="Calibri" w:hAnsi="David"/>
          <w:noProof w:val="0"/>
          <w:rtl/>
        </w:rPr>
        <w:t xml:space="preserve">עומדת </w:t>
      </w:r>
      <w:r w:rsidR="001956B0" w:rsidRPr="001956B0">
        <w:rPr>
          <w:rFonts w:ascii="David" w:eastAsia="Calibri" w:hAnsi="David"/>
          <w:b/>
          <w:bCs/>
          <w:noProof w:val="0"/>
          <w:rtl/>
        </w:rPr>
        <w:t>בסתירה</w:t>
      </w:r>
      <w:r w:rsidR="001956B0" w:rsidRPr="001956B0">
        <w:rPr>
          <w:rFonts w:ascii="David" w:eastAsia="Calibri" w:hAnsi="David"/>
          <w:noProof w:val="0"/>
          <w:rtl/>
        </w:rPr>
        <w:t xml:space="preserve"> </w:t>
      </w:r>
      <w:r w:rsidR="00A57039">
        <w:rPr>
          <w:rFonts w:ascii="David" w:eastAsia="Calibri" w:hAnsi="David" w:hint="cs"/>
          <w:noProof w:val="0"/>
          <w:rtl/>
        </w:rPr>
        <w:t>לטענותיו</w:t>
      </w:r>
      <w:r w:rsidR="001956B0" w:rsidRPr="001956B0">
        <w:rPr>
          <w:rFonts w:ascii="David" w:eastAsia="Calibri" w:hAnsi="David"/>
          <w:noProof w:val="0"/>
          <w:rtl/>
        </w:rPr>
        <w:t xml:space="preserve"> שלו </w:t>
      </w:r>
      <w:r w:rsidR="00A57039">
        <w:rPr>
          <w:rFonts w:ascii="David" w:eastAsia="Calibri" w:hAnsi="David" w:hint="cs"/>
          <w:noProof w:val="0"/>
          <w:rtl/>
        </w:rPr>
        <w:t>השזורות לאורך כלל טיעוניו בסיכומיו בהקשרים אחרים</w:t>
      </w:r>
      <w:r w:rsidR="001956B0" w:rsidRPr="001956B0">
        <w:rPr>
          <w:rFonts w:ascii="David" w:eastAsia="Calibri" w:hAnsi="David"/>
          <w:noProof w:val="0"/>
          <w:rtl/>
        </w:rPr>
        <w:t xml:space="preserve">, </w:t>
      </w:r>
      <w:r w:rsidR="00A57039">
        <w:rPr>
          <w:rFonts w:ascii="David" w:eastAsia="Calibri" w:hAnsi="David" w:hint="cs"/>
          <w:noProof w:val="0"/>
          <w:rtl/>
        </w:rPr>
        <w:t>ו</w:t>
      </w:r>
      <w:r w:rsidR="001956B0" w:rsidRPr="001956B0">
        <w:rPr>
          <w:rFonts w:ascii="David" w:eastAsia="Calibri" w:hAnsi="David"/>
          <w:noProof w:val="0"/>
          <w:rtl/>
        </w:rPr>
        <w:t>לפיה</w:t>
      </w:r>
      <w:r w:rsidR="00A57039">
        <w:rPr>
          <w:rFonts w:ascii="David" w:eastAsia="Calibri" w:hAnsi="David" w:hint="cs"/>
          <w:noProof w:val="0"/>
          <w:rtl/>
        </w:rPr>
        <w:t>ן</w:t>
      </w:r>
      <w:r w:rsidR="001956B0" w:rsidRPr="001956B0">
        <w:rPr>
          <w:rFonts w:ascii="David" w:eastAsia="Calibri" w:hAnsi="David"/>
          <w:noProof w:val="0"/>
          <w:rtl/>
        </w:rPr>
        <w:t xml:space="preserve"> "</w:t>
      </w:r>
      <w:r w:rsidR="001956B0" w:rsidRPr="001956B0">
        <w:rPr>
          <w:rFonts w:ascii="David" w:eastAsia="Calibri" w:hAnsi="David"/>
          <w:b/>
          <w:bCs/>
          <w:noProof w:val="0"/>
          <w:rtl/>
        </w:rPr>
        <w:t>המומחה קבע מנגנון של שערוך הזכויות (הצמדה או הצמדה וריבית כדין), ולכן הוא לא קיפח מי מהצדדים</w:t>
      </w:r>
      <w:r w:rsidR="00A57039">
        <w:rPr>
          <w:rFonts w:ascii="David" w:eastAsia="Calibri" w:hAnsi="David"/>
          <w:noProof w:val="0"/>
          <w:rtl/>
        </w:rPr>
        <w:t>" (סעיף 83(ב) לסיכומי התובע)</w:t>
      </w:r>
      <w:r w:rsidR="00A57039">
        <w:rPr>
          <w:rFonts w:ascii="David" w:eastAsia="Calibri" w:hAnsi="David" w:hint="cs"/>
          <w:noProof w:val="0"/>
          <w:rtl/>
        </w:rPr>
        <w:t>; "</w:t>
      </w:r>
      <w:r w:rsidR="00A57039" w:rsidRPr="00A57039">
        <w:rPr>
          <w:rFonts w:ascii="David" w:eastAsia="Calibri" w:hAnsi="David" w:hint="cs"/>
          <w:b/>
          <w:bCs/>
          <w:noProof w:val="0"/>
          <w:rtl/>
        </w:rPr>
        <w:t>מעת שהמומחה קובע מנגנון שערוך לנתונים אליהם הגיע בין בהצמדה בין בהצמדה וריבית ע"פ דין, אזי הטיעון של הנתבעת כי הנתונים ארכאיים לא עומד עוד...</w:t>
      </w:r>
      <w:r w:rsidR="00A57039">
        <w:rPr>
          <w:rFonts w:ascii="David" w:eastAsia="Calibri" w:hAnsi="David" w:hint="cs"/>
          <w:noProof w:val="0"/>
          <w:rtl/>
        </w:rPr>
        <w:t xml:space="preserve">" (סעיף 56 לסיכומיו; וראו גם סעיף 81 לסיכומיו); </w:t>
      </w:r>
      <w:r w:rsidR="001956B0" w:rsidRPr="001956B0">
        <w:rPr>
          <w:rFonts w:ascii="David" w:eastAsia="Calibri" w:hAnsi="David"/>
          <w:noProof w:val="0"/>
          <w:rtl/>
        </w:rPr>
        <w:t>ודי בטעם זה לכשעצמו על מנת לדחות טענה זו.</w:t>
      </w:r>
    </w:p>
    <w:p w:rsidR="00DA3C0D" w:rsidRDefault="00DA3C0D" w:rsidP="00DA3C0D">
      <w:pPr>
        <w:pStyle w:val="ad"/>
        <w:rPr>
          <w:rFonts w:ascii="David" w:eastAsia="Calibri" w:hAnsi="David"/>
          <w:noProof w:val="0"/>
          <w:rtl/>
        </w:rPr>
      </w:pPr>
    </w:p>
    <w:p w:rsidR="00DA3C0D" w:rsidRDefault="00DA3C0D" w:rsidP="00383798">
      <w:pPr>
        <w:numPr>
          <w:ilvl w:val="0"/>
          <w:numId w:val="1"/>
        </w:numPr>
        <w:spacing w:after="160" w:line="360" w:lineRule="auto"/>
        <w:ind w:left="651"/>
        <w:contextualSpacing/>
        <w:jc w:val="both"/>
        <w:rPr>
          <w:rFonts w:ascii="David" w:hAnsi="David"/>
          <w:noProof w:val="0"/>
        </w:rPr>
      </w:pPr>
      <w:r>
        <w:rPr>
          <w:rFonts w:ascii="David" w:hAnsi="David"/>
          <w:noProof w:val="0"/>
          <w:rtl/>
        </w:rPr>
        <w:t>בית המשפט מוסמך על פי דין לקבוע את אופן הצמדת החיוב עליו הוא מורה</w:t>
      </w:r>
      <w:r>
        <w:rPr>
          <w:rFonts w:ascii="David" w:hAnsi="David" w:hint="cs"/>
          <w:noProof w:val="0"/>
          <w:rtl/>
        </w:rPr>
        <w:t>, בין באמצעות הצמדה ובין באמצעות הפרשי ריבית והצמדה</w:t>
      </w:r>
      <w:r w:rsidR="00EA0ABB">
        <w:rPr>
          <w:rFonts w:ascii="David" w:hAnsi="David" w:hint="cs"/>
          <w:noProof w:val="0"/>
          <w:rtl/>
        </w:rPr>
        <w:t>, והעניין מסור לשיקול דעתו</w:t>
      </w:r>
      <w:r w:rsidR="00BD321C">
        <w:rPr>
          <w:rFonts w:ascii="David" w:hAnsi="David" w:hint="cs"/>
          <w:noProof w:val="0"/>
          <w:rtl/>
        </w:rPr>
        <w:t xml:space="preserve">. ראו </w:t>
      </w:r>
      <w:hyperlink r:id="rId12" w:history="1">
        <w:r w:rsidRPr="00AE5FE7">
          <w:rPr>
            <w:rtl/>
          </w:rPr>
          <w:t>סע</w:t>
        </w:r>
        <w:r w:rsidRPr="00AE5FE7">
          <w:rPr>
            <w:rFonts w:hint="cs"/>
            <w:rtl/>
          </w:rPr>
          <w:t>יפים</w:t>
        </w:r>
        <w:r w:rsidRPr="00AE5FE7">
          <w:rPr>
            <w:rtl/>
          </w:rPr>
          <w:t xml:space="preserve"> 2</w:t>
        </w:r>
      </w:hyperlink>
      <w:r>
        <w:rPr>
          <w:rFonts w:ascii="David" w:hAnsi="David"/>
          <w:noProof w:val="0"/>
          <w:rtl/>
        </w:rPr>
        <w:t xml:space="preserve"> </w:t>
      </w:r>
      <w:r>
        <w:rPr>
          <w:rFonts w:ascii="David" w:hAnsi="David" w:hint="cs"/>
          <w:noProof w:val="0"/>
          <w:rtl/>
        </w:rPr>
        <w:t xml:space="preserve">ו-3 </w:t>
      </w:r>
      <w:r w:rsidRPr="00A57039">
        <w:rPr>
          <w:rFonts w:ascii="David" w:hAnsi="David"/>
          <w:b/>
          <w:bCs/>
          <w:noProof w:val="0"/>
          <w:rtl/>
        </w:rPr>
        <w:t>ל</w:t>
      </w:r>
      <w:hyperlink r:id="rId13" w:history="1">
        <w:r w:rsidRPr="00A57039">
          <w:rPr>
            <w:b/>
            <w:bCs/>
            <w:rtl/>
          </w:rPr>
          <w:t>חוק פסיקת ריבית והצמדה</w:t>
        </w:r>
      </w:hyperlink>
      <w:r w:rsidRPr="00A57039">
        <w:rPr>
          <w:rFonts w:ascii="David" w:hAnsi="David"/>
          <w:b/>
          <w:bCs/>
          <w:noProof w:val="0"/>
          <w:rtl/>
        </w:rPr>
        <w:t>,</w:t>
      </w:r>
      <w:r>
        <w:rPr>
          <w:rFonts w:ascii="David" w:hAnsi="David"/>
          <w:noProof w:val="0"/>
          <w:rtl/>
        </w:rPr>
        <w:t xml:space="preserve"> התשכ"א-1961</w:t>
      </w:r>
      <w:r w:rsidR="00383798">
        <w:rPr>
          <w:rFonts w:ascii="David" w:hAnsi="David" w:hint="cs"/>
          <w:noProof w:val="0"/>
          <w:rtl/>
        </w:rPr>
        <w:t xml:space="preserve">, וכן </w:t>
      </w:r>
      <w:r w:rsidR="00383798" w:rsidRPr="00383798">
        <w:rPr>
          <w:rFonts w:ascii="David" w:hAnsi="David"/>
          <w:noProof w:val="0"/>
          <w:rtl/>
        </w:rPr>
        <w:t xml:space="preserve">עמ"ש (מחוזי מרכז) 43480-12-22 </w:t>
      </w:r>
      <w:r w:rsidR="00383798" w:rsidRPr="00EA0ABB">
        <w:rPr>
          <w:rFonts w:ascii="David" w:hAnsi="David"/>
          <w:b/>
          <w:bCs/>
          <w:noProof w:val="0"/>
          <w:rtl/>
        </w:rPr>
        <w:t>י. ה נ' נ. ה</w:t>
      </w:r>
      <w:r w:rsidR="00383798" w:rsidRPr="00383798">
        <w:rPr>
          <w:rFonts w:ascii="David" w:hAnsi="David"/>
          <w:noProof w:val="0"/>
          <w:rtl/>
        </w:rPr>
        <w:t xml:space="preserve"> (02.07.2023)</w:t>
      </w:r>
      <w:r w:rsidR="00383798">
        <w:rPr>
          <w:rFonts w:ascii="David" w:hAnsi="David" w:hint="cs"/>
          <w:noProof w:val="0"/>
          <w:rtl/>
        </w:rPr>
        <w:t>.</w:t>
      </w:r>
    </w:p>
    <w:p w:rsidR="00AE5FE7" w:rsidRDefault="00AE5FE7" w:rsidP="00AE5FE7">
      <w:pPr>
        <w:pStyle w:val="ad"/>
        <w:rPr>
          <w:rFonts w:ascii="David" w:hAnsi="David"/>
          <w:noProof w:val="0"/>
          <w:rtl/>
        </w:rPr>
      </w:pPr>
    </w:p>
    <w:p w:rsidR="00AE5FE7" w:rsidRPr="00383798" w:rsidRDefault="00AE5FE7" w:rsidP="00B049CD">
      <w:pPr>
        <w:numPr>
          <w:ilvl w:val="0"/>
          <w:numId w:val="1"/>
        </w:numPr>
        <w:spacing w:after="160" w:line="360" w:lineRule="auto"/>
        <w:ind w:hanging="437"/>
        <w:contextualSpacing/>
        <w:jc w:val="both"/>
        <w:rPr>
          <w:rFonts w:ascii="David" w:hAnsi="David"/>
          <w:noProof w:val="0"/>
        </w:rPr>
      </w:pPr>
      <w:r w:rsidRPr="00383798">
        <w:rPr>
          <w:rFonts w:ascii="David" w:hAnsi="David" w:hint="cs"/>
          <w:noProof w:val="0"/>
          <w:rtl/>
        </w:rPr>
        <w:lastRenderedPageBreak/>
        <w:t xml:space="preserve">בנסיבות בהן מועד הקרע בין הצדדים לפיו ערך המומחה את איזון הזכויות הפנסיוניות כאמור, חל בשנת 2016, והחישוב נערך בהסכמת הצדדים מספר שנים לאחר מכן, </w:t>
      </w:r>
      <w:r w:rsidR="00EA0ABB">
        <w:rPr>
          <w:rFonts w:ascii="David" w:hAnsi="David" w:hint="cs"/>
          <w:noProof w:val="0"/>
          <w:rtl/>
        </w:rPr>
        <w:t xml:space="preserve">על מנת לשמר את ערכו של הסכום החל ממועד הקרע, </w:t>
      </w:r>
      <w:r w:rsidR="009C6E4F" w:rsidRPr="00383798">
        <w:rPr>
          <w:rFonts w:ascii="David" w:hAnsi="David" w:hint="cs"/>
          <w:noProof w:val="0"/>
          <w:rtl/>
        </w:rPr>
        <w:t xml:space="preserve">ולאחר שניתן להסיק מעמדת המומחה עצמו כי יש אפשרות להתחשב בשינויים שחלו מעת מועד הפירוד ועד למועד האיזון באמצעות המנגנונים הקבועים בחוק, והנתבע עצמו עמד על ההיגיון לעשות כן בנסיבות דנן בתשובותיו להשגות התובעת, </w:t>
      </w:r>
      <w:r w:rsidR="00777060" w:rsidRPr="00383798">
        <w:rPr>
          <w:rFonts w:ascii="David" w:hAnsi="David" w:hint="cs"/>
          <w:noProof w:val="0"/>
          <w:rtl/>
        </w:rPr>
        <w:t xml:space="preserve">הנני מורה </w:t>
      </w:r>
      <w:r w:rsidR="00BD321C" w:rsidRPr="00383798">
        <w:rPr>
          <w:rFonts w:ascii="David" w:hAnsi="David" w:hint="cs"/>
          <w:noProof w:val="0"/>
          <w:rtl/>
        </w:rPr>
        <w:t xml:space="preserve">על הוספת </w:t>
      </w:r>
      <w:r w:rsidRPr="00383798">
        <w:rPr>
          <w:rFonts w:ascii="David" w:hAnsi="David" w:hint="cs"/>
          <w:noProof w:val="0"/>
          <w:rtl/>
        </w:rPr>
        <w:t xml:space="preserve">הפרשי </w:t>
      </w:r>
      <w:r w:rsidR="009C6E4F" w:rsidRPr="00383798">
        <w:rPr>
          <w:rFonts w:ascii="David" w:hAnsi="David" w:hint="cs"/>
          <w:b/>
          <w:bCs/>
          <w:noProof w:val="0"/>
          <w:rtl/>
        </w:rPr>
        <w:t>ריבית ו</w:t>
      </w:r>
      <w:r w:rsidRPr="00383798">
        <w:rPr>
          <w:rFonts w:ascii="David" w:hAnsi="David" w:hint="cs"/>
          <w:b/>
          <w:bCs/>
          <w:noProof w:val="0"/>
          <w:rtl/>
        </w:rPr>
        <w:t>הצמדה</w:t>
      </w:r>
      <w:r w:rsidR="00AE3AFD" w:rsidRPr="00383798">
        <w:rPr>
          <w:rFonts w:ascii="David" w:eastAsia="Calibri" w:hAnsi="David" w:hint="cs"/>
          <w:b/>
          <w:bCs/>
          <w:noProof w:val="0"/>
          <w:rtl/>
        </w:rPr>
        <w:t>,</w:t>
      </w:r>
      <w:r w:rsidR="00AE3AFD" w:rsidRPr="00383798">
        <w:rPr>
          <w:rFonts w:ascii="David" w:eastAsia="Calibri" w:hAnsi="David" w:hint="cs"/>
          <w:noProof w:val="0"/>
          <w:rtl/>
        </w:rPr>
        <w:t xml:space="preserve"> על מנת לשמר את ערך הסכומים, כפי שהבהיר המומחה</w:t>
      </w:r>
      <w:r w:rsidR="009C6E4F" w:rsidRPr="00383798">
        <w:rPr>
          <w:rFonts w:ascii="David" w:eastAsia="Calibri" w:hAnsi="David" w:hint="cs"/>
          <w:noProof w:val="0"/>
          <w:rtl/>
        </w:rPr>
        <w:t>.</w:t>
      </w:r>
    </w:p>
    <w:p w:rsidR="009C6E4F" w:rsidRDefault="009C6E4F" w:rsidP="009C6E4F">
      <w:pPr>
        <w:pStyle w:val="ad"/>
        <w:rPr>
          <w:rFonts w:ascii="David" w:hAnsi="David"/>
          <w:noProof w:val="0"/>
          <w:rtl/>
        </w:rPr>
      </w:pPr>
    </w:p>
    <w:p w:rsidR="00AE3AFD" w:rsidRDefault="000507B0" w:rsidP="00383798">
      <w:pPr>
        <w:numPr>
          <w:ilvl w:val="0"/>
          <w:numId w:val="1"/>
        </w:numPr>
        <w:spacing w:after="160" w:line="360" w:lineRule="auto"/>
        <w:ind w:left="651"/>
        <w:contextualSpacing/>
        <w:jc w:val="both"/>
        <w:rPr>
          <w:rFonts w:ascii="David" w:eastAsia="Calibri" w:hAnsi="David"/>
          <w:noProof w:val="0"/>
        </w:rPr>
      </w:pPr>
      <w:r>
        <w:rPr>
          <w:rFonts w:ascii="David" w:eastAsia="Calibri" w:hAnsi="David" w:hint="cs"/>
          <w:noProof w:val="0"/>
          <w:rtl/>
        </w:rPr>
        <w:t xml:space="preserve">לפיכך, הסכום שיקבע בסופו של יום בחוות הדעת המתוקנת יישא </w:t>
      </w:r>
      <w:r w:rsidRPr="00C41171">
        <w:rPr>
          <w:rFonts w:ascii="David" w:eastAsia="Calibri" w:hAnsi="David" w:hint="cs"/>
          <w:b/>
          <w:bCs/>
          <w:noProof w:val="0"/>
          <w:rtl/>
        </w:rPr>
        <w:t>הפרשי הצמדה</w:t>
      </w:r>
      <w:r w:rsidR="00A00E8B">
        <w:rPr>
          <w:rFonts w:ascii="David" w:eastAsia="Calibri" w:hAnsi="David" w:hint="cs"/>
          <w:b/>
          <w:bCs/>
          <w:noProof w:val="0"/>
          <w:rtl/>
        </w:rPr>
        <w:t xml:space="preserve"> וריבית כדין</w:t>
      </w:r>
      <w:r>
        <w:rPr>
          <w:rFonts w:ascii="David" w:eastAsia="Calibri" w:hAnsi="David" w:hint="cs"/>
          <w:noProof w:val="0"/>
          <w:rtl/>
        </w:rPr>
        <w:t xml:space="preserve">, החל ממועד הפירוד ועד למועד </w:t>
      </w:r>
      <w:r w:rsidR="00AE3AFD">
        <w:rPr>
          <w:rFonts w:ascii="David" w:eastAsia="Calibri" w:hAnsi="David" w:hint="cs"/>
          <w:noProof w:val="0"/>
          <w:rtl/>
        </w:rPr>
        <w:t>חוות הדעת</w:t>
      </w:r>
      <w:r w:rsidR="00BD321C">
        <w:rPr>
          <w:rFonts w:ascii="David" w:eastAsia="Calibri" w:hAnsi="David" w:hint="cs"/>
          <w:noProof w:val="0"/>
          <w:rtl/>
        </w:rPr>
        <w:t xml:space="preserve"> המתוקנת כפי שתוגש לפני</w:t>
      </w:r>
      <w:r w:rsidR="00AE3AFD">
        <w:rPr>
          <w:rFonts w:ascii="David" w:eastAsia="Calibri" w:hAnsi="David" w:hint="cs"/>
          <w:noProof w:val="0"/>
          <w:rtl/>
        </w:rPr>
        <w:t>.</w:t>
      </w:r>
    </w:p>
    <w:p w:rsidR="00AE3AFD" w:rsidRDefault="00AE3AFD" w:rsidP="00AE3AFD">
      <w:pPr>
        <w:pStyle w:val="ad"/>
        <w:rPr>
          <w:rFonts w:ascii="David" w:eastAsia="Calibri" w:hAnsi="David"/>
          <w:noProof w:val="0"/>
          <w:rtl/>
        </w:rPr>
      </w:pPr>
    </w:p>
    <w:p w:rsidR="001956B0" w:rsidRPr="00EA0ABB" w:rsidRDefault="001956B0" w:rsidP="00DB78E9">
      <w:pPr>
        <w:numPr>
          <w:ilvl w:val="0"/>
          <w:numId w:val="1"/>
        </w:numPr>
        <w:spacing w:after="160" w:line="360" w:lineRule="auto"/>
        <w:ind w:left="651"/>
        <w:contextualSpacing/>
        <w:jc w:val="both"/>
        <w:rPr>
          <w:rFonts w:ascii="David" w:eastAsia="Calibri" w:hAnsi="David"/>
          <w:b/>
          <w:bCs/>
          <w:noProof w:val="0"/>
        </w:rPr>
      </w:pPr>
      <w:r w:rsidRPr="0076725E">
        <w:rPr>
          <w:rFonts w:ascii="David" w:eastAsia="Calibri" w:hAnsi="David"/>
          <w:b/>
          <w:bCs/>
          <w:noProof w:val="0"/>
          <w:rtl/>
        </w:rPr>
        <w:t xml:space="preserve">עת המומחה נדרש לעיל </w:t>
      </w:r>
      <w:r w:rsidR="00DB78E9">
        <w:rPr>
          <w:rFonts w:ascii="David" w:eastAsia="Calibri" w:hAnsi="David" w:hint="cs"/>
          <w:b/>
          <w:bCs/>
          <w:noProof w:val="0"/>
          <w:rtl/>
        </w:rPr>
        <w:t>להשלים</w:t>
      </w:r>
      <w:r w:rsidRPr="0076725E">
        <w:rPr>
          <w:rFonts w:ascii="David" w:eastAsia="Calibri" w:hAnsi="David"/>
          <w:b/>
          <w:bCs/>
          <w:noProof w:val="0"/>
          <w:rtl/>
        </w:rPr>
        <w:t xml:space="preserve"> את חוות דעתו כפי שהוריתי לעיל בהחלטתי דנן, מבוקש כי </w:t>
      </w:r>
      <w:r w:rsidRPr="00EA0ABB">
        <w:rPr>
          <w:rFonts w:ascii="David" w:eastAsia="Calibri" w:hAnsi="David"/>
          <w:b/>
          <w:bCs/>
          <w:noProof w:val="0"/>
          <w:rtl/>
        </w:rPr>
        <w:t xml:space="preserve">המומחה ישערך את הסכומים המעודכנים בתוספת </w:t>
      </w:r>
      <w:r w:rsidRPr="00EA0ABB">
        <w:rPr>
          <w:rFonts w:ascii="David" w:eastAsia="Calibri" w:hAnsi="David"/>
          <w:b/>
          <w:bCs/>
          <w:noProof w:val="0"/>
          <w:u w:val="single"/>
          <w:rtl/>
        </w:rPr>
        <w:t>הפרשי הצמדה</w:t>
      </w:r>
      <w:r w:rsidR="00034863" w:rsidRPr="00EA0ABB">
        <w:rPr>
          <w:rFonts w:ascii="David" w:eastAsia="Calibri" w:hAnsi="David" w:hint="cs"/>
          <w:b/>
          <w:bCs/>
          <w:noProof w:val="0"/>
          <w:u w:val="single"/>
          <w:rtl/>
        </w:rPr>
        <w:t xml:space="preserve"> וריבית כדין</w:t>
      </w:r>
      <w:r w:rsidR="00AE3AFD" w:rsidRPr="00EA0ABB">
        <w:rPr>
          <w:rFonts w:ascii="David" w:eastAsia="Calibri" w:hAnsi="David" w:hint="cs"/>
          <w:b/>
          <w:bCs/>
          <w:noProof w:val="0"/>
          <w:rtl/>
        </w:rPr>
        <w:t xml:space="preserve"> כאמור</w:t>
      </w:r>
      <w:r w:rsidRPr="00EA0ABB">
        <w:rPr>
          <w:rFonts w:ascii="David" w:eastAsia="Calibri" w:hAnsi="David"/>
          <w:b/>
          <w:bCs/>
          <w:noProof w:val="0"/>
          <w:rtl/>
        </w:rPr>
        <w:t>.</w:t>
      </w:r>
    </w:p>
    <w:p w:rsidR="001956B0" w:rsidRPr="001956B0" w:rsidRDefault="001956B0" w:rsidP="001956B0">
      <w:pPr>
        <w:spacing w:line="360" w:lineRule="auto"/>
        <w:ind w:left="651"/>
        <w:contextualSpacing/>
        <w:jc w:val="both"/>
        <w:rPr>
          <w:rFonts w:ascii="David" w:eastAsia="Calibri" w:hAnsi="David"/>
          <w:noProof w:val="0"/>
        </w:rPr>
      </w:pPr>
    </w:p>
    <w:p w:rsidR="001956B0" w:rsidRDefault="001956B0" w:rsidP="004F2AF5">
      <w:pPr>
        <w:numPr>
          <w:ilvl w:val="0"/>
          <w:numId w:val="1"/>
        </w:numPr>
        <w:spacing w:after="160" w:line="360" w:lineRule="auto"/>
        <w:ind w:left="651"/>
        <w:contextualSpacing/>
        <w:jc w:val="both"/>
        <w:rPr>
          <w:rFonts w:ascii="David" w:eastAsia="Calibri" w:hAnsi="David"/>
          <w:noProof w:val="0"/>
        </w:rPr>
      </w:pPr>
      <w:r w:rsidRPr="001956B0">
        <w:rPr>
          <w:rFonts w:ascii="David" w:eastAsia="Calibri" w:hAnsi="David"/>
          <w:noProof w:val="0"/>
          <w:rtl/>
        </w:rPr>
        <w:t>ביחס ל</w:t>
      </w:r>
      <w:r w:rsidR="000507B0">
        <w:rPr>
          <w:rFonts w:ascii="David" w:eastAsia="Calibri" w:hAnsi="David" w:hint="cs"/>
          <w:noProof w:val="0"/>
          <w:rtl/>
        </w:rPr>
        <w:t xml:space="preserve">יתרת הסכום </w:t>
      </w:r>
      <w:r w:rsidRPr="001956B0">
        <w:rPr>
          <w:rFonts w:ascii="David" w:eastAsia="Calibri" w:hAnsi="David"/>
          <w:noProof w:val="0"/>
          <w:rtl/>
        </w:rPr>
        <w:t xml:space="preserve">עבור הדירה המשותפת, על הצדדים לנהוג על פי הוראת </w:t>
      </w:r>
      <w:r w:rsidR="000507B0">
        <w:rPr>
          <w:rFonts w:ascii="David" w:eastAsia="Calibri" w:hAnsi="David" w:hint="cs"/>
          <w:noProof w:val="0"/>
          <w:rtl/>
        </w:rPr>
        <w:t>ה</w:t>
      </w:r>
      <w:r w:rsidRPr="001956B0">
        <w:rPr>
          <w:rFonts w:ascii="David" w:eastAsia="Calibri" w:hAnsi="David"/>
          <w:noProof w:val="0"/>
          <w:rtl/>
        </w:rPr>
        <w:t>הסכם ביניהם</w:t>
      </w:r>
      <w:r w:rsidR="000507B0">
        <w:rPr>
          <w:rFonts w:ascii="David" w:eastAsia="Calibri" w:hAnsi="David" w:hint="cs"/>
          <w:noProof w:val="0"/>
          <w:rtl/>
        </w:rPr>
        <w:t xml:space="preserve"> שקיבל תוקף של החלטה ביום 2.5.21, אשר </w:t>
      </w:r>
      <w:r w:rsidR="000507B0" w:rsidRPr="00C41171">
        <w:rPr>
          <w:rFonts w:ascii="David" w:eastAsia="Calibri" w:hAnsi="David" w:hint="cs"/>
          <w:b/>
          <w:bCs/>
          <w:noProof w:val="0"/>
          <w:rtl/>
        </w:rPr>
        <w:t>לא כולל הוראות בדבר הצמדה</w:t>
      </w:r>
      <w:r w:rsidR="000507B0">
        <w:rPr>
          <w:rFonts w:ascii="David" w:eastAsia="Calibri" w:hAnsi="David" w:hint="cs"/>
          <w:noProof w:val="0"/>
          <w:rtl/>
        </w:rPr>
        <w:t xml:space="preserve"> עד למועד התשלום שנקבע בסעיף 3 להסכם</w:t>
      </w:r>
      <w:r w:rsidRPr="001956B0">
        <w:rPr>
          <w:rFonts w:ascii="David" w:eastAsia="Calibri" w:hAnsi="David"/>
          <w:noProof w:val="0"/>
          <w:rtl/>
        </w:rPr>
        <w:t>.</w:t>
      </w:r>
      <w:r w:rsidR="00497DA7">
        <w:rPr>
          <w:rFonts w:ascii="David" w:eastAsia="Calibri" w:hAnsi="David" w:hint="cs"/>
          <w:noProof w:val="0"/>
          <w:rtl/>
        </w:rPr>
        <w:t xml:space="preserve"> ככל שלא ישולם הסכום ב</w:t>
      </w:r>
      <w:r w:rsidR="000507B0">
        <w:rPr>
          <w:rFonts w:ascii="David" w:eastAsia="Calibri" w:hAnsi="David" w:hint="cs"/>
          <w:noProof w:val="0"/>
          <w:rtl/>
        </w:rPr>
        <w:t>מועד שהוסכם כאמור יחולו הוראות סעיף 4 להסכם.</w:t>
      </w:r>
    </w:p>
    <w:p w:rsidR="000507B0" w:rsidRDefault="000507B0" w:rsidP="000507B0">
      <w:pPr>
        <w:pStyle w:val="ad"/>
        <w:rPr>
          <w:rFonts w:ascii="David" w:eastAsia="Calibri" w:hAnsi="David"/>
          <w:noProof w:val="0"/>
          <w:rtl/>
        </w:rPr>
      </w:pPr>
    </w:p>
    <w:p w:rsidR="000507B0" w:rsidRPr="0076725E" w:rsidRDefault="000507B0" w:rsidP="004F2AF5">
      <w:pPr>
        <w:numPr>
          <w:ilvl w:val="0"/>
          <w:numId w:val="1"/>
        </w:numPr>
        <w:spacing w:after="160" w:line="360" w:lineRule="auto"/>
        <w:ind w:left="651"/>
        <w:contextualSpacing/>
        <w:jc w:val="both"/>
        <w:rPr>
          <w:rFonts w:ascii="David" w:eastAsia="Calibri" w:hAnsi="David"/>
          <w:b/>
          <w:bCs/>
          <w:noProof w:val="0"/>
        </w:rPr>
      </w:pPr>
      <w:r w:rsidRPr="0076725E">
        <w:rPr>
          <w:rFonts w:ascii="David" w:eastAsia="Calibri" w:hAnsi="David" w:hint="cs"/>
          <w:b/>
          <w:bCs/>
          <w:noProof w:val="0"/>
          <w:rtl/>
        </w:rPr>
        <w:t xml:space="preserve">לפיכך טענת התובע לשערך </w:t>
      </w:r>
      <w:r w:rsidR="00497DA7">
        <w:rPr>
          <w:rFonts w:ascii="David" w:eastAsia="Calibri" w:hAnsi="David" w:hint="cs"/>
          <w:b/>
          <w:bCs/>
          <w:noProof w:val="0"/>
          <w:rtl/>
        </w:rPr>
        <w:t>את יתרת התמורה בגין הדירה נדחית</w:t>
      </w:r>
      <w:r w:rsidRPr="0076725E">
        <w:rPr>
          <w:rFonts w:ascii="David" w:eastAsia="Calibri" w:hAnsi="David" w:hint="cs"/>
          <w:b/>
          <w:bCs/>
          <w:noProof w:val="0"/>
          <w:rtl/>
        </w:rPr>
        <w:t>.</w:t>
      </w:r>
    </w:p>
    <w:p w:rsidR="00B90614" w:rsidRDefault="00B90614" w:rsidP="0076725E">
      <w:pPr>
        <w:spacing w:after="160" w:line="360" w:lineRule="auto"/>
        <w:contextualSpacing/>
        <w:jc w:val="both"/>
        <w:rPr>
          <w:rFonts w:ascii="David" w:eastAsia="Calibri" w:hAnsi="David"/>
          <w:b/>
          <w:bCs/>
          <w:noProof w:val="0"/>
          <w:sz w:val="26"/>
          <w:szCs w:val="26"/>
          <w:rtl/>
        </w:rPr>
      </w:pPr>
    </w:p>
    <w:p w:rsidR="000507B0" w:rsidRPr="0076725E" w:rsidRDefault="000507B0" w:rsidP="0076725E">
      <w:pPr>
        <w:spacing w:after="160" w:line="360" w:lineRule="auto"/>
        <w:contextualSpacing/>
        <w:jc w:val="both"/>
        <w:rPr>
          <w:rFonts w:ascii="David" w:eastAsia="Calibri" w:hAnsi="David"/>
          <w:b/>
          <w:bCs/>
          <w:noProof w:val="0"/>
          <w:sz w:val="26"/>
          <w:szCs w:val="26"/>
        </w:rPr>
      </w:pPr>
      <w:r w:rsidRPr="0076725E">
        <w:rPr>
          <w:rFonts w:ascii="David" w:eastAsia="Calibri" w:hAnsi="David" w:hint="cs"/>
          <w:b/>
          <w:bCs/>
          <w:noProof w:val="0"/>
          <w:sz w:val="26"/>
          <w:szCs w:val="26"/>
          <w:rtl/>
        </w:rPr>
        <w:t>סוף דבר</w:t>
      </w:r>
    </w:p>
    <w:p w:rsidR="001956B0" w:rsidRPr="001956B0" w:rsidRDefault="001956B0" w:rsidP="001956B0">
      <w:pPr>
        <w:spacing w:line="360" w:lineRule="auto"/>
        <w:ind w:left="291"/>
        <w:jc w:val="both"/>
        <w:rPr>
          <w:rFonts w:ascii="David" w:eastAsia="Calibri" w:hAnsi="David"/>
          <w:noProof w:val="0"/>
        </w:rPr>
      </w:pPr>
    </w:p>
    <w:p w:rsidR="000507B0" w:rsidRPr="00DB78E9" w:rsidRDefault="000507B0" w:rsidP="00DB78E9">
      <w:pPr>
        <w:numPr>
          <w:ilvl w:val="0"/>
          <w:numId w:val="1"/>
        </w:numPr>
        <w:spacing w:after="160" w:line="360" w:lineRule="auto"/>
        <w:ind w:left="651"/>
        <w:contextualSpacing/>
        <w:jc w:val="both"/>
        <w:rPr>
          <w:rFonts w:ascii="David" w:eastAsia="Calibri" w:hAnsi="David"/>
          <w:noProof w:val="0"/>
        </w:rPr>
      </w:pPr>
      <w:r w:rsidRPr="00DB78E9">
        <w:rPr>
          <w:rFonts w:ascii="David" w:eastAsia="Calibri" w:hAnsi="David" w:hint="cs"/>
          <w:noProof w:val="0"/>
          <w:rtl/>
        </w:rPr>
        <w:t>עתירות הצדדים</w:t>
      </w:r>
      <w:r w:rsidR="00BD7A1B" w:rsidRPr="00DB78E9">
        <w:rPr>
          <w:rFonts w:ascii="David" w:eastAsia="Calibri" w:hAnsi="David" w:hint="cs"/>
          <w:noProof w:val="0"/>
          <w:rtl/>
        </w:rPr>
        <w:t xml:space="preserve"> ביחס לחוות דעת המומחה נידחות, </w:t>
      </w:r>
      <w:r w:rsidRPr="00DB78E9">
        <w:rPr>
          <w:rFonts w:ascii="David" w:eastAsia="Calibri" w:hAnsi="David" w:hint="cs"/>
          <w:noProof w:val="0"/>
          <w:rtl/>
        </w:rPr>
        <w:t xml:space="preserve">למעט האמור בסעיפים </w:t>
      </w:r>
      <w:r w:rsidR="0081376F" w:rsidRPr="00DB78E9">
        <w:rPr>
          <w:rFonts w:ascii="David" w:eastAsia="Calibri" w:hAnsi="David" w:hint="cs"/>
          <w:noProof w:val="0"/>
          <w:rtl/>
        </w:rPr>
        <w:t>76</w:t>
      </w:r>
      <w:r w:rsidR="0076725E" w:rsidRPr="00DB78E9">
        <w:rPr>
          <w:rFonts w:ascii="David" w:eastAsia="Calibri" w:hAnsi="David" w:hint="cs"/>
          <w:noProof w:val="0"/>
          <w:rtl/>
        </w:rPr>
        <w:t xml:space="preserve">, </w:t>
      </w:r>
      <w:r w:rsidR="0081376F" w:rsidRPr="00DB78E9">
        <w:rPr>
          <w:rFonts w:ascii="David" w:eastAsia="Calibri" w:hAnsi="David" w:hint="cs"/>
          <w:noProof w:val="0"/>
          <w:rtl/>
        </w:rPr>
        <w:t>18</w:t>
      </w:r>
      <w:r w:rsidR="00EA0ABB" w:rsidRPr="00DB78E9">
        <w:rPr>
          <w:rFonts w:ascii="David" w:eastAsia="Calibri" w:hAnsi="David" w:hint="cs"/>
          <w:noProof w:val="0"/>
          <w:rtl/>
        </w:rPr>
        <w:t>1</w:t>
      </w:r>
      <w:r w:rsidR="0081376F" w:rsidRPr="00DB78E9">
        <w:rPr>
          <w:rFonts w:ascii="David" w:eastAsia="Calibri" w:hAnsi="David" w:hint="cs"/>
          <w:noProof w:val="0"/>
          <w:rtl/>
        </w:rPr>
        <w:t>-18</w:t>
      </w:r>
      <w:r w:rsidR="00EA0ABB" w:rsidRPr="00DB78E9">
        <w:rPr>
          <w:rFonts w:ascii="David" w:eastAsia="Calibri" w:hAnsi="David" w:hint="cs"/>
          <w:noProof w:val="0"/>
          <w:rtl/>
        </w:rPr>
        <w:t>2</w:t>
      </w:r>
      <w:r w:rsidR="0076725E" w:rsidRPr="00DB78E9">
        <w:rPr>
          <w:rFonts w:ascii="David" w:eastAsia="Calibri" w:hAnsi="David" w:hint="cs"/>
          <w:noProof w:val="0"/>
          <w:rtl/>
        </w:rPr>
        <w:t xml:space="preserve">, </w:t>
      </w:r>
      <w:r w:rsidR="0081376F" w:rsidRPr="00DB78E9">
        <w:rPr>
          <w:rFonts w:ascii="David" w:eastAsia="Calibri" w:hAnsi="David" w:hint="cs"/>
          <w:noProof w:val="0"/>
          <w:rtl/>
        </w:rPr>
        <w:t>18</w:t>
      </w:r>
      <w:r w:rsidR="00EA0ABB" w:rsidRPr="00DB78E9">
        <w:rPr>
          <w:rFonts w:ascii="David" w:eastAsia="Calibri" w:hAnsi="David" w:hint="cs"/>
          <w:noProof w:val="0"/>
          <w:rtl/>
        </w:rPr>
        <w:t>5</w:t>
      </w:r>
      <w:r w:rsidR="0081376F" w:rsidRPr="00DB78E9">
        <w:rPr>
          <w:rFonts w:ascii="David" w:eastAsia="Calibri" w:hAnsi="David" w:hint="cs"/>
          <w:noProof w:val="0"/>
          <w:rtl/>
        </w:rPr>
        <w:t>-18</w:t>
      </w:r>
      <w:r w:rsidR="00EA0ABB" w:rsidRPr="00DB78E9">
        <w:rPr>
          <w:rFonts w:ascii="David" w:eastAsia="Calibri" w:hAnsi="David" w:hint="cs"/>
          <w:noProof w:val="0"/>
          <w:rtl/>
        </w:rPr>
        <w:t>7</w:t>
      </w:r>
      <w:r w:rsidR="0081376F" w:rsidRPr="00DB78E9">
        <w:rPr>
          <w:rFonts w:ascii="David" w:eastAsia="Calibri" w:hAnsi="David" w:hint="cs"/>
          <w:noProof w:val="0"/>
          <w:rtl/>
        </w:rPr>
        <w:t xml:space="preserve"> ו-21</w:t>
      </w:r>
      <w:r w:rsidR="00DB78E9" w:rsidRPr="00DB78E9">
        <w:rPr>
          <w:rFonts w:ascii="David" w:eastAsia="Calibri" w:hAnsi="David" w:hint="cs"/>
          <w:noProof w:val="0"/>
          <w:rtl/>
        </w:rPr>
        <w:t>2</w:t>
      </w:r>
      <w:r w:rsidR="0076725E" w:rsidRPr="00DB78E9">
        <w:rPr>
          <w:rFonts w:ascii="David" w:eastAsia="Calibri" w:hAnsi="David" w:hint="cs"/>
          <w:noProof w:val="0"/>
          <w:rtl/>
        </w:rPr>
        <w:t xml:space="preserve"> </w:t>
      </w:r>
      <w:r w:rsidRPr="00DB78E9">
        <w:rPr>
          <w:rFonts w:ascii="David" w:eastAsia="Calibri" w:hAnsi="David" w:hint="cs"/>
          <w:noProof w:val="0"/>
          <w:rtl/>
        </w:rPr>
        <w:t>לעיל.</w:t>
      </w:r>
    </w:p>
    <w:p w:rsidR="00507359" w:rsidRPr="00DB78E9" w:rsidRDefault="00507359" w:rsidP="00507359">
      <w:pPr>
        <w:spacing w:after="160" w:line="360" w:lineRule="auto"/>
        <w:ind w:left="651"/>
        <w:contextualSpacing/>
        <w:jc w:val="both"/>
        <w:rPr>
          <w:rFonts w:ascii="David" w:eastAsia="Calibri" w:hAnsi="David"/>
          <w:noProof w:val="0"/>
        </w:rPr>
      </w:pPr>
    </w:p>
    <w:p w:rsidR="00507359" w:rsidRPr="00507359" w:rsidRDefault="00507359" w:rsidP="00DB78E9">
      <w:pPr>
        <w:numPr>
          <w:ilvl w:val="0"/>
          <w:numId w:val="1"/>
        </w:numPr>
        <w:spacing w:after="160" w:line="360" w:lineRule="auto"/>
        <w:ind w:left="651" w:hanging="510"/>
        <w:contextualSpacing/>
        <w:jc w:val="both"/>
        <w:rPr>
          <w:rFonts w:ascii="David" w:eastAsia="Calibri" w:hAnsi="David"/>
          <w:noProof w:val="0"/>
        </w:rPr>
      </w:pPr>
      <w:r w:rsidRPr="00DB78E9">
        <w:rPr>
          <w:rFonts w:ascii="David" w:eastAsia="Calibri" w:hAnsi="David" w:hint="cs"/>
          <w:noProof w:val="0"/>
          <w:rtl/>
        </w:rPr>
        <w:t xml:space="preserve">הנתבעת רשאית להגיש </w:t>
      </w:r>
      <w:r w:rsidRPr="00DB78E9">
        <w:rPr>
          <w:rFonts w:ascii="David" w:eastAsia="Calibri" w:hAnsi="David"/>
          <w:noProof w:val="0"/>
          <w:rtl/>
        </w:rPr>
        <w:t xml:space="preserve">צו גילוי מידע מוסכם </w:t>
      </w:r>
      <w:r w:rsidRPr="0068172B">
        <w:rPr>
          <w:rFonts w:ascii="David" w:eastAsia="Calibri" w:hAnsi="David"/>
          <w:b/>
          <w:bCs/>
          <w:noProof w:val="0"/>
          <w:rtl/>
        </w:rPr>
        <w:t xml:space="preserve">בתוך </w:t>
      </w:r>
      <w:r w:rsidR="00DB78E9" w:rsidRPr="0068172B">
        <w:rPr>
          <w:rFonts w:ascii="David" w:eastAsia="Calibri" w:hAnsi="David" w:hint="cs"/>
          <w:b/>
          <w:bCs/>
          <w:noProof w:val="0"/>
          <w:rtl/>
        </w:rPr>
        <w:t>10</w:t>
      </w:r>
      <w:r w:rsidRPr="0068172B">
        <w:rPr>
          <w:rFonts w:ascii="David" w:eastAsia="Calibri" w:hAnsi="David"/>
          <w:b/>
          <w:bCs/>
          <w:noProof w:val="0"/>
          <w:rtl/>
        </w:rPr>
        <w:t xml:space="preserve"> ימים</w:t>
      </w:r>
      <w:r w:rsidRPr="00DB78E9">
        <w:rPr>
          <w:rFonts w:ascii="David" w:eastAsia="Calibri" w:hAnsi="David" w:hint="cs"/>
          <w:noProof w:val="0"/>
          <w:rtl/>
        </w:rPr>
        <w:t xml:space="preserve"> כאמור בסעיף </w:t>
      </w:r>
      <w:r w:rsidR="0081376F" w:rsidRPr="00DB78E9">
        <w:rPr>
          <w:rFonts w:ascii="David" w:eastAsia="Calibri" w:hAnsi="David" w:hint="cs"/>
          <w:noProof w:val="0"/>
          <w:rtl/>
        </w:rPr>
        <w:t>18</w:t>
      </w:r>
      <w:r w:rsidR="00DB78E9" w:rsidRPr="00DB78E9">
        <w:rPr>
          <w:rFonts w:ascii="David" w:eastAsia="Calibri" w:hAnsi="David" w:hint="cs"/>
          <w:noProof w:val="0"/>
          <w:rtl/>
        </w:rPr>
        <w:t>6</w:t>
      </w:r>
      <w:r w:rsidRPr="00DB78E9">
        <w:rPr>
          <w:rFonts w:ascii="David" w:eastAsia="Calibri" w:hAnsi="David" w:hint="cs"/>
          <w:noProof w:val="0"/>
          <w:rtl/>
        </w:rPr>
        <w:t>, וככל שלא</w:t>
      </w:r>
      <w:r w:rsidRPr="00507359">
        <w:rPr>
          <w:rFonts w:ascii="David" w:eastAsia="Calibri" w:hAnsi="David" w:hint="cs"/>
          <w:noProof w:val="0"/>
          <w:rtl/>
        </w:rPr>
        <w:t xml:space="preserve"> תעשה כן ייחשב הדבר כאילו וויתרה על טענותיה לעניין קופת הגמל ד"ש.</w:t>
      </w:r>
      <w:r w:rsidRPr="00507359">
        <w:rPr>
          <w:rFonts w:ascii="David" w:eastAsia="Calibri" w:hAnsi="David"/>
          <w:noProof w:val="0"/>
          <w:rtl/>
        </w:rPr>
        <w:t xml:space="preserve"> </w:t>
      </w:r>
    </w:p>
    <w:p w:rsidR="00507359" w:rsidRDefault="00507359" w:rsidP="00507359">
      <w:pPr>
        <w:pStyle w:val="ad"/>
        <w:rPr>
          <w:rFonts w:ascii="David" w:eastAsia="Calibri" w:hAnsi="David"/>
          <w:b/>
          <w:bCs/>
          <w:noProof w:val="0"/>
          <w:rtl/>
        </w:rPr>
      </w:pPr>
    </w:p>
    <w:p w:rsidR="00756188" w:rsidRDefault="001956B0" w:rsidP="00DB78E9">
      <w:pPr>
        <w:numPr>
          <w:ilvl w:val="0"/>
          <w:numId w:val="1"/>
        </w:numPr>
        <w:spacing w:after="160" w:line="360" w:lineRule="auto"/>
        <w:ind w:left="651"/>
        <w:contextualSpacing/>
        <w:jc w:val="both"/>
        <w:rPr>
          <w:rFonts w:ascii="David" w:eastAsia="Calibri" w:hAnsi="David"/>
          <w:b/>
          <w:bCs/>
          <w:noProof w:val="0"/>
        </w:rPr>
      </w:pPr>
      <w:r>
        <w:rPr>
          <w:rFonts w:ascii="David" w:eastAsia="Calibri" w:hAnsi="David" w:hint="cs"/>
          <w:noProof w:val="0"/>
          <w:rtl/>
        </w:rPr>
        <w:t xml:space="preserve">המומחה </w:t>
      </w:r>
      <w:r w:rsidR="000507B0">
        <w:rPr>
          <w:rFonts w:ascii="David" w:eastAsia="Calibri" w:hAnsi="David" w:hint="cs"/>
          <w:noProof w:val="0"/>
          <w:rtl/>
        </w:rPr>
        <w:t xml:space="preserve">יעדכן את חוות הדעת בהתאם להשגות שהתקבלו כאמור, </w:t>
      </w:r>
      <w:r w:rsidR="00497DA7">
        <w:rPr>
          <w:rFonts w:ascii="David" w:eastAsia="Calibri" w:hAnsi="David" w:hint="cs"/>
          <w:noProof w:val="0"/>
          <w:rtl/>
        </w:rPr>
        <w:t>וכן ביחס לש</w:t>
      </w:r>
      <w:r w:rsidR="0076725E">
        <w:rPr>
          <w:rFonts w:ascii="David" w:eastAsia="Calibri" w:hAnsi="David" w:hint="cs"/>
          <w:noProof w:val="0"/>
          <w:rtl/>
        </w:rPr>
        <w:t xml:space="preserve">ערוך כאמור בסעיף </w:t>
      </w:r>
      <w:r w:rsidR="00034863">
        <w:rPr>
          <w:rFonts w:ascii="David" w:eastAsia="Calibri" w:hAnsi="David" w:hint="cs"/>
          <w:noProof w:val="0"/>
          <w:rtl/>
        </w:rPr>
        <w:t>22</w:t>
      </w:r>
      <w:r w:rsidR="00DB78E9">
        <w:rPr>
          <w:rFonts w:ascii="David" w:eastAsia="Calibri" w:hAnsi="David" w:hint="cs"/>
          <w:noProof w:val="0"/>
          <w:rtl/>
        </w:rPr>
        <w:t>2</w:t>
      </w:r>
      <w:r w:rsidR="0076725E">
        <w:rPr>
          <w:rFonts w:ascii="David" w:eastAsia="Calibri" w:hAnsi="David" w:hint="cs"/>
          <w:noProof w:val="0"/>
          <w:rtl/>
        </w:rPr>
        <w:t xml:space="preserve"> לעיל, </w:t>
      </w:r>
      <w:r w:rsidR="000507B0">
        <w:rPr>
          <w:rFonts w:ascii="David" w:eastAsia="Calibri" w:hAnsi="David" w:hint="cs"/>
          <w:noProof w:val="0"/>
          <w:rtl/>
        </w:rPr>
        <w:t xml:space="preserve">ויגיש חוו"ד מתוקנת </w:t>
      </w:r>
      <w:r w:rsidR="000507B0" w:rsidRPr="0068172B">
        <w:rPr>
          <w:rFonts w:ascii="David" w:eastAsia="Calibri" w:hAnsi="David" w:hint="cs"/>
          <w:b/>
          <w:bCs/>
          <w:noProof w:val="0"/>
          <w:rtl/>
        </w:rPr>
        <w:t xml:space="preserve">בתוך </w:t>
      </w:r>
      <w:r w:rsidR="0076725E" w:rsidRPr="0068172B">
        <w:rPr>
          <w:rFonts w:ascii="David" w:eastAsia="Calibri" w:hAnsi="David" w:hint="cs"/>
          <w:b/>
          <w:bCs/>
          <w:noProof w:val="0"/>
          <w:rtl/>
        </w:rPr>
        <w:t xml:space="preserve">45 </w:t>
      </w:r>
      <w:r w:rsidR="00DB78E9" w:rsidRPr="0068172B">
        <w:rPr>
          <w:rFonts w:ascii="David" w:eastAsia="Calibri" w:hAnsi="David" w:hint="cs"/>
          <w:b/>
          <w:bCs/>
          <w:noProof w:val="0"/>
          <w:rtl/>
        </w:rPr>
        <w:t>יום</w:t>
      </w:r>
      <w:r w:rsidR="00DB78E9">
        <w:rPr>
          <w:rFonts w:ascii="David" w:eastAsia="Calibri" w:hAnsi="David" w:hint="cs"/>
          <w:noProof w:val="0"/>
          <w:rtl/>
        </w:rPr>
        <w:t>, ולאחריה</w:t>
      </w:r>
      <w:r w:rsidR="0068172B">
        <w:rPr>
          <w:rFonts w:ascii="David" w:eastAsia="Calibri" w:hAnsi="David" w:hint="cs"/>
          <w:noProof w:val="0"/>
          <w:rtl/>
        </w:rPr>
        <w:t xml:space="preserve">, ולאחר מתן זכות טיעון לצדדים, </w:t>
      </w:r>
      <w:r w:rsidR="00DB78E9">
        <w:rPr>
          <w:rFonts w:ascii="David" w:eastAsia="Calibri" w:hAnsi="David" w:hint="cs"/>
          <w:noProof w:val="0"/>
          <w:rtl/>
        </w:rPr>
        <w:t xml:space="preserve"> יינתן פסק דין משלים בסוגיות אלו.</w:t>
      </w:r>
    </w:p>
    <w:p w:rsidR="0076725E" w:rsidRPr="00756188" w:rsidRDefault="0076725E" w:rsidP="0076725E">
      <w:pPr>
        <w:spacing w:after="160" w:line="360" w:lineRule="auto"/>
        <w:ind w:left="651"/>
        <w:contextualSpacing/>
        <w:jc w:val="both"/>
        <w:rPr>
          <w:rFonts w:ascii="David" w:eastAsia="Calibri" w:hAnsi="David"/>
          <w:b/>
          <w:bCs/>
          <w:noProof w:val="0"/>
        </w:rPr>
      </w:pPr>
    </w:p>
    <w:p w:rsidR="0076725E" w:rsidRPr="000507B0" w:rsidRDefault="0076725E" w:rsidP="004F2AF5">
      <w:pPr>
        <w:numPr>
          <w:ilvl w:val="0"/>
          <w:numId w:val="1"/>
        </w:numPr>
        <w:spacing w:after="160" w:line="360" w:lineRule="auto"/>
        <w:ind w:left="651"/>
        <w:contextualSpacing/>
        <w:jc w:val="both"/>
        <w:rPr>
          <w:rFonts w:ascii="David" w:eastAsia="Calibri" w:hAnsi="David"/>
          <w:noProof w:val="0"/>
        </w:rPr>
      </w:pPr>
      <w:r w:rsidRPr="000507B0">
        <w:rPr>
          <w:rFonts w:ascii="David" w:eastAsia="Calibri" w:hAnsi="David"/>
          <w:noProof w:val="0"/>
          <w:rtl/>
        </w:rPr>
        <w:t>הצדדים יעבירו החלטה זו למומחה ויישאו באופן שווה בשכר הטרחה המבוקש על ידו עבור עדכון חוות דעתו בהתאם להחלטתי דנן.</w:t>
      </w:r>
    </w:p>
    <w:p w:rsidR="002914D6" w:rsidRDefault="002914D6">
      <w:pPr>
        <w:spacing w:line="360" w:lineRule="auto"/>
        <w:jc w:val="both"/>
        <w:rPr>
          <w:rFonts w:ascii="Arial" w:hAnsi="Arial"/>
          <w:noProof w:val="0"/>
          <w:rtl/>
        </w:rPr>
      </w:pPr>
    </w:p>
    <w:p w:rsidR="0076725E" w:rsidRDefault="0076725E" w:rsidP="004F2AF5">
      <w:pPr>
        <w:numPr>
          <w:ilvl w:val="0"/>
          <w:numId w:val="1"/>
        </w:numPr>
        <w:spacing w:after="160" w:line="360" w:lineRule="auto"/>
        <w:ind w:left="651"/>
        <w:contextualSpacing/>
        <w:jc w:val="both"/>
        <w:rPr>
          <w:rFonts w:ascii="David" w:eastAsia="Calibri" w:hAnsi="David"/>
          <w:noProof w:val="0"/>
        </w:rPr>
      </w:pPr>
      <w:r w:rsidRPr="000507B0">
        <w:rPr>
          <w:rFonts w:ascii="David" w:eastAsia="Calibri" w:hAnsi="David"/>
          <w:noProof w:val="0"/>
          <w:rtl/>
        </w:rPr>
        <w:t xml:space="preserve">בנסיבות בהן </w:t>
      </w:r>
      <w:r w:rsidRPr="000507B0">
        <w:rPr>
          <w:rFonts w:ascii="David" w:eastAsia="Calibri" w:hAnsi="David" w:hint="cs"/>
          <w:noProof w:val="0"/>
          <w:rtl/>
        </w:rPr>
        <w:t>חלק מהשגות הנתבעת התקבלו וכך אף חלק מהשגות התובע התקבלו, לא מצאתי לחייב מי מהצדדים בהוצאות משפט.</w:t>
      </w:r>
    </w:p>
    <w:p w:rsidR="008F344E" w:rsidRDefault="008F344E" w:rsidP="008F344E">
      <w:pPr>
        <w:pStyle w:val="ad"/>
        <w:rPr>
          <w:rFonts w:ascii="David" w:eastAsia="Calibri" w:hAnsi="David"/>
          <w:noProof w:val="0"/>
          <w:rtl/>
        </w:rPr>
      </w:pPr>
    </w:p>
    <w:p w:rsidR="00030266" w:rsidRPr="00030266" w:rsidRDefault="008F344E" w:rsidP="004F2AF5">
      <w:pPr>
        <w:numPr>
          <w:ilvl w:val="0"/>
          <w:numId w:val="1"/>
        </w:numPr>
        <w:spacing w:after="160" w:line="360" w:lineRule="auto"/>
        <w:ind w:left="651"/>
        <w:contextualSpacing/>
        <w:jc w:val="both"/>
        <w:rPr>
          <w:rFonts w:ascii="David" w:eastAsia="David" w:hAnsi="David"/>
          <w:b/>
          <w:bCs/>
          <w:noProof w:val="0"/>
        </w:rPr>
      </w:pPr>
      <w:r w:rsidRPr="005455F7">
        <w:rPr>
          <w:rFonts w:ascii="David" w:eastAsia="Calibri" w:hAnsi="David" w:hint="cs"/>
          <w:noProof w:val="0"/>
          <w:rtl/>
        </w:rPr>
        <w:lastRenderedPageBreak/>
        <w:t xml:space="preserve">בשולי פסק הדין אעיר כי </w:t>
      </w:r>
      <w:r w:rsidR="00507359" w:rsidRPr="005455F7">
        <w:rPr>
          <w:rFonts w:ascii="David" w:eastAsia="Calibri" w:hAnsi="David" w:hint="cs"/>
          <w:noProof w:val="0"/>
          <w:rtl/>
        </w:rPr>
        <w:t xml:space="preserve">נוכח </w:t>
      </w:r>
      <w:r w:rsidR="005455F7" w:rsidRPr="005455F7">
        <w:rPr>
          <w:rFonts w:ascii="David" w:eastAsia="Calibri" w:hAnsi="David" w:hint="cs"/>
          <w:noProof w:val="0"/>
          <w:rtl/>
        </w:rPr>
        <w:t xml:space="preserve">טענות </w:t>
      </w:r>
      <w:r w:rsidR="00507359" w:rsidRPr="005455F7">
        <w:rPr>
          <w:rFonts w:ascii="David" w:eastAsia="Calibri" w:hAnsi="David" w:hint="cs"/>
          <w:noProof w:val="0"/>
          <w:rtl/>
        </w:rPr>
        <w:t xml:space="preserve">הנתבעת לרבות הודעתה מיום 3.5.22 </w:t>
      </w:r>
      <w:r w:rsidR="005455F7" w:rsidRPr="005455F7">
        <w:rPr>
          <w:rFonts w:ascii="David" w:eastAsia="Calibri" w:hAnsi="David" w:hint="cs"/>
          <w:noProof w:val="0"/>
          <w:rtl/>
        </w:rPr>
        <w:t xml:space="preserve"> לפיהם הצדדים לא חזו תוצאה זו של האקטואר לאורך כל הליך המשא ומתן ביניהם, ו</w:t>
      </w:r>
      <w:r w:rsidR="006A0E78" w:rsidRPr="005455F7">
        <w:rPr>
          <w:rFonts w:ascii="David" w:eastAsia="Calibri" w:hAnsi="David" w:hint="cs"/>
          <w:noProof w:val="0"/>
          <w:rtl/>
        </w:rPr>
        <w:t xml:space="preserve">בנסיבות בהן אף המומחה מטעם בית המשפט הבהיר </w:t>
      </w:r>
      <w:r w:rsidR="00990DF2" w:rsidRPr="005455F7">
        <w:rPr>
          <w:rFonts w:ascii="David" w:eastAsia="Calibri" w:hAnsi="David" w:hint="cs"/>
          <w:noProof w:val="0"/>
          <w:rtl/>
        </w:rPr>
        <w:t xml:space="preserve">בחקירתו כי </w:t>
      </w:r>
      <w:r w:rsidR="00990DF2" w:rsidRPr="005455F7">
        <w:rPr>
          <w:rFonts w:ascii="David" w:eastAsia="David" w:hAnsi="David" w:hint="cs"/>
          <w:noProof w:val="0"/>
          <w:rtl/>
        </w:rPr>
        <w:t>"</w:t>
      </w:r>
      <w:r w:rsidR="00990DF2" w:rsidRPr="005455F7">
        <w:rPr>
          <w:rFonts w:ascii="David" w:eastAsia="David" w:hAnsi="David" w:hint="cs"/>
          <w:b/>
          <w:bCs/>
          <w:noProof w:val="0"/>
          <w:rtl/>
        </w:rPr>
        <w:t xml:space="preserve">...כשכתבתי את חו"ד והגשתי את שתי אפשרויות, </w:t>
      </w:r>
      <w:r w:rsidR="00990DF2" w:rsidRPr="005455F7">
        <w:rPr>
          <w:rFonts w:ascii="David" w:eastAsia="David" w:hAnsi="David" w:hint="cs"/>
          <w:b/>
          <w:bCs/>
          <w:noProof w:val="0"/>
          <w:u w:val="single"/>
          <w:rtl/>
        </w:rPr>
        <w:t>אין ספק שהמדויקת היא השניה על פי חוק חלוקת חסכון פנסיוני.</w:t>
      </w:r>
      <w:r w:rsidR="005455F7" w:rsidRPr="005455F7">
        <w:rPr>
          <w:rFonts w:ascii="David" w:eastAsia="David" w:hAnsi="David" w:hint="cs"/>
          <w:b/>
          <w:bCs/>
          <w:noProof w:val="0"/>
          <w:u w:val="single"/>
          <w:rtl/>
        </w:rPr>
        <w:t>.."</w:t>
      </w:r>
      <w:r w:rsidR="00990DF2" w:rsidRPr="005455F7">
        <w:rPr>
          <w:rFonts w:ascii="David" w:eastAsia="David" w:hAnsi="David" w:hint="cs"/>
          <w:b/>
          <w:bCs/>
          <w:noProof w:val="0"/>
          <w:rtl/>
        </w:rPr>
        <w:t xml:space="preserve">. </w:t>
      </w:r>
      <w:r w:rsidR="00990DF2" w:rsidRPr="005455F7">
        <w:rPr>
          <w:rFonts w:ascii="David" w:eastAsia="David" w:hAnsi="David" w:hint="cs"/>
          <w:noProof w:val="0"/>
          <w:rtl/>
        </w:rPr>
        <w:t>(עמ' 23 שורות 21-25 לפרוט'; ראו בהקשר זה גם תשובות המומחה לשאלות הבהרה</w:t>
      </w:r>
      <w:r w:rsidR="006B5454" w:rsidRPr="005455F7">
        <w:rPr>
          <w:rFonts w:ascii="David" w:eastAsia="David" w:hAnsi="David" w:hint="cs"/>
          <w:noProof w:val="0"/>
          <w:rtl/>
        </w:rPr>
        <w:t xml:space="preserve"> של הנתבעת</w:t>
      </w:r>
      <w:r w:rsidR="00990DF2" w:rsidRPr="005455F7">
        <w:rPr>
          <w:rFonts w:ascii="David" w:eastAsia="David" w:hAnsi="David" w:hint="cs"/>
          <w:noProof w:val="0"/>
          <w:rtl/>
        </w:rPr>
        <w:t xml:space="preserve"> מס' 1, 5, 7)</w:t>
      </w:r>
      <w:r w:rsidR="006D69F4" w:rsidRPr="005455F7">
        <w:rPr>
          <w:rFonts w:ascii="David" w:eastAsia="David" w:hAnsi="David" w:hint="cs"/>
          <w:noProof w:val="0"/>
          <w:rtl/>
        </w:rPr>
        <w:t xml:space="preserve">; </w:t>
      </w:r>
      <w:r w:rsidR="005455F7">
        <w:rPr>
          <w:rFonts w:ascii="David" w:eastAsia="David" w:hAnsi="David" w:hint="cs"/>
          <w:noProof w:val="0"/>
          <w:rtl/>
        </w:rPr>
        <w:t>דומה כי אכן החלופה של איזון משאבים על פי החוק לחלוקת חיסכון פנסיוני</w:t>
      </w:r>
      <w:r w:rsidR="00030266">
        <w:rPr>
          <w:rFonts w:ascii="David" w:eastAsia="David" w:hAnsi="David" w:hint="cs"/>
          <w:noProof w:val="0"/>
          <w:rtl/>
        </w:rPr>
        <w:t xml:space="preserve"> </w:t>
      </w:r>
      <w:r w:rsidR="00030266">
        <w:rPr>
          <w:rFonts w:ascii="David" w:eastAsia="David" w:hAnsi="David"/>
          <w:noProof w:val="0"/>
          <w:rtl/>
        </w:rPr>
        <w:t>–</w:t>
      </w:r>
      <w:r w:rsidR="00030266">
        <w:rPr>
          <w:rFonts w:ascii="David" w:eastAsia="David" w:hAnsi="David" w:hint="cs"/>
          <w:noProof w:val="0"/>
          <w:rtl/>
        </w:rPr>
        <w:t xml:space="preserve"> חלופה שהצדדים בחרו שלא להחיל על עצמם- יכולה להביא לתוצאה מדויקת יותר, ובוודאי קלה יותר  ליישום.</w:t>
      </w:r>
    </w:p>
    <w:p w:rsidR="005455F7" w:rsidRPr="0087418B" w:rsidRDefault="005455F7" w:rsidP="005455F7">
      <w:pPr>
        <w:pStyle w:val="ad"/>
        <w:rPr>
          <w:rFonts w:ascii="David" w:eastAsia="David" w:hAnsi="David"/>
          <w:b/>
          <w:bCs/>
          <w:noProof w:val="0"/>
          <w:rtl/>
        </w:rPr>
      </w:pPr>
    </w:p>
    <w:p w:rsidR="006D69F4" w:rsidRDefault="0087418B" w:rsidP="004F2AF5">
      <w:pPr>
        <w:numPr>
          <w:ilvl w:val="0"/>
          <w:numId w:val="1"/>
        </w:numPr>
        <w:spacing w:after="160" w:line="360" w:lineRule="auto"/>
        <w:ind w:left="651"/>
        <w:contextualSpacing/>
        <w:jc w:val="both"/>
        <w:rPr>
          <w:rFonts w:ascii="David" w:eastAsia="David" w:hAnsi="David"/>
          <w:b/>
          <w:bCs/>
          <w:noProof w:val="0"/>
        </w:rPr>
      </w:pPr>
      <w:r>
        <w:rPr>
          <w:rFonts w:ascii="David" w:eastAsia="David" w:hAnsi="David" w:hint="cs"/>
          <w:b/>
          <w:bCs/>
          <w:noProof w:val="0"/>
          <w:rtl/>
        </w:rPr>
        <w:t xml:space="preserve">לאור האמור, </w:t>
      </w:r>
      <w:r w:rsidR="005455F7" w:rsidRPr="005455F7">
        <w:rPr>
          <w:rFonts w:ascii="David" w:eastAsia="David" w:hAnsi="David" w:hint="cs"/>
          <w:b/>
          <w:bCs/>
          <w:noProof w:val="0"/>
          <w:rtl/>
        </w:rPr>
        <w:t>טוב יעשו ה</w:t>
      </w:r>
      <w:r w:rsidR="00FF78D9" w:rsidRPr="005455F7">
        <w:rPr>
          <w:rFonts w:ascii="David" w:eastAsia="David" w:hAnsi="David" w:hint="cs"/>
          <w:b/>
          <w:bCs/>
          <w:noProof w:val="0"/>
          <w:rtl/>
        </w:rPr>
        <w:t xml:space="preserve">צדדים </w:t>
      </w:r>
      <w:r w:rsidR="005455F7" w:rsidRPr="005455F7">
        <w:rPr>
          <w:rFonts w:ascii="David" w:eastAsia="David" w:hAnsi="David" w:hint="cs"/>
          <w:b/>
          <w:bCs/>
          <w:noProof w:val="0"/>
          <w:rtl/>
        </w:rPr>
        <w:t xml:space="preserve">אם יבואו בדברים באמצעות באי כוחם המלומדים ויעשו </w:t>
      </w:r>
      <w:r w:rsidR="006D69F4" w:rsidRPr="005455F7">
        <w:rPr>
          <w:rFonts w:ascii="David" w:eastAsia="David" w:hAnsi="David" w:hint="cs"/>
          <w:b/>
          <w:bCs/>
          <w:noProof w:val="0"/>
          <w:rtl/>
        </w:rPr>
        <w:t xml:space="preserve">מאמץ לסיים הפלוגתות שנותרו </w:t>
      </w:r>
      <w:r w:rsidR="00D54B88" w:rsidRPr="005455F7">
        <w:rPr>
          <w:rFonts w:ascii="David" w:eastAsia="David" w:hAnsi="David" w:hint="cs"/>
          <w:b/>
          <w:bCs/>
          <w:noProof w:val="0"/>
          <w:rtl/>
        </w:rPr>
        <w:t xml:space="preserve">להכרעה </w:t>
      </w:r>
      <w:r w:rsidR="005455F7" w:rsidRPr="005455F7">
        <w:rPr>
          <w:rFonts w:ascii="David" w:eastAsia="David" w:hAnsi="David" w:hint="cs"/>
          <w:b/>
          <w:bCs/>
          <w:noProof w:val="0"/>
          <w:rtl/>
        </w:rPr>
        <w:t>בהסכמה</w:t>
      </w:r>
      <w:r>
        <w:rPr>
          <w:rFonts w:ascii="David" w:eastAsia="David" w:hAnsi="David" w:hint="cs"/>
          <w:b/>
          <w:bCs/>
          <w:noProof w:val="0"/>
          <w:rtl/>
        </w:rPr>
        <w:t>, על מנת לסיים סכסוך ממושך זה</w:t>
      </w:r>
      <w:r w:rsidR="00D54B88" w:rsidRPr="005455F7">
        <w:rPr>
          <w:rFonts w:ascii="David" w:eastAsia="David" w:hAnsi="David" w:hint="cs"/>
          <w:b/>
          <w:bCs/>
          <w:noProof w:val="0"/>
          <w:rtl/>
        </w:rPr>
        <w:t>.</w:t>
      </w:r>
    </w:p>
    <w:p w:rsidR="00B90614" w:rsidRDefault="00B90614" w:rsidP="00B90614">
      <w:pPr>
        <w:pStyle w:val="ad"/>
        <w:rPr>
          <w:rFonts w:ascii="David" w:eastAsia="David" w:hAnsi="David"/>
          <w:b/>
          <w:bCs/>
          <w:noProof w:val="0"/>
          <w:rtl/>
        </w:rPr>
      </w:pPr>
    </w:p>
    <w:p w:rsidR="00B90614" w:rsidRPr="005455F7" w:rsidRDefault="00B90614" w:rsidP="004F2AF5">
      <w:pPr>
        <w:numPr>
          <w:ilvl w:val="0"/>
          <w:numId w:val="1"/>
        </w:numPr>
        <w:spacing w:after="160" w:line="360" w:lineRule="auto"/>
        <w:ind w:left="651"/>
        <w:contextualSpacing/>
        <w:jc w:val="both"/>
        <w:rPr>
          <w:rFonts w:ascii="David" w:eastAsia="David" w:hAnsi="David"/>
          <w:b/>
          <w:bCs/>
          <w:noProof w:val="0"/>
        </w:rPr>
      </w:pPr>
      <w:r>
        <w:rPr>
          <w:rFonts w:ascii="David" w:eastAsia="David" w:hAnsi="David" w:hint="cs"/>
          <w:b/>
          <w:bCs/>
          <w:noProof w:val="0"/>
          <w:rtl/>
        </w:rPr>
        <w:t>ההחלטה הותרה לפרסום בהשמטת פרטים מזהים.</w:t>
      </w:r>
    </w:p>
    <w:p w:rsidR="008F344E" w:rsidRPr="00990DF2" w:rsidRDefault="008F344E" w:rsidP="00990DF2">
      <w:pPr>
        <w:spacing w:after="160" w:line="360" w:lineRule="auto"/>
        <w:contextualSpacing/>
        <w:jc w:val="both"/>
        <w:rPr>
          <w:rFonts w:ascii="David" w:eastAsia="Calibri" w:hAnsi="David"/>
          <w:noProof w:val="0"/>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י"ט אייר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27 מאי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342245025"/>
        </w:sdtPr>
        <w:sdtEndPr/>
        <w:sdtContent>
          <w:r w:rsidR="005242FB">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5"/>
      <w:footerReference w:type="defaul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3A1" w:rsidRDefault="000053A1">
      <w:r>
        <w:separator/>
      </w:r>
    </w:p>
  </w:endnote>
  <w:endnote w:type="continuationSeparator" w:id="0">
    <w:p w:rsidR="000053A1" w:rsidRDefault="0000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D7D2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D7D2C">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3A1" w:rsidRDefault="000053A1">
      <w:r>
        <w:separator/>
      </w:r>
    </w:p>
  </w:footnote>
  <w:footnote w:type="continuationSeparator" w:id="0">
    <w:p w:rsidR="000053A1" w:rsidRDefault="00005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27 מאי 2024</w:t>
              </w:r>
            </w:p>
          </w:tc>
        </w:sdtContent>
      </w:sdt>
    </w:tr>
    <w:tr w:rsidR="002914D6">
      <w:trPr>
        <w:trHeight w:val="337"/>
        <w:jc w:val="center"/>
      </w:trPr>
      <w:tc>
        <w:tcPr>
          <w:tcW w:w="8721" w:type="dxa"/>
          <w:gridSpan w:val="2"/>
        </w:tcPr>
        <w:p w:rsidR="002914D6" w:rsidRDefault="000053A1" w:rsidP="00B90614">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תלה"מ</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30031-09-19</w:t>
              </w:r>
            </w:sdtContent>
          </w:sdt>
          <w:r w:rsidR="00011212">
            <w:rPr>
              <w:b/>
              <w:bCs/>
              <w:noProof w:val="0"/>
              <w:sz w:val="26"/>
              <w:szCs w:val="26"/>
              <w:rtl/>
            </w:rPr>
            <w:t xml:space="preserve"> </w:t>
          </w:r>
          <w:sdt>
            <w:sdtPr>
              <w:rPr>
                <w:rtl/>
              </w:rPr>
              <w:alias w:val="1172"/>
              <w:tag w:val="1172"/>
              <w:id w:val="1658414112"/>
              <w:text w:multiLine="1"/>
            </w:sdtPr>
            <w:sdtEndPr/>
            <w:sdtContent>
              <w:r w:rsidR="00B90614">
                <w:rPr>
                  <w:rFonts w:hint="cs"/>
                  <w:b/>
                  <w:bCs/>
                  <w:noProof w:val="0"/>
                  <w:sz w:val="26"/>
                  <w:szCs w:val="26"/>
                  <w:rtl/>
                </w:rPr>
                <w:t>ט'</w:t>
              </w:r>
              <w:r w:rsidR="00521467">
                <w:rPr>
                  <w:b/>
                  <w:bCs/>
                  <w:noProof w:val="0"/>
                  <w:sz w:val="26"/>
                  <w:szCs w:val="26"/>
                  <w:rtl/>
                </w:rPr>
                <w:t xml:space="preserve"> נ' </w:t>
              </w:r>
              <w:r w:rsidR="00B90614">
                <w:rPr>
                  <w:rFonts w:hint="cs"/>
                  <w:b/>
                  <w:bCs/>
                  <w:noProof w:val="0"/>
                  <w:sz w:val="26"/>
                  <w:szCs w:val="26"/>
                  <w:rtl/>
                </w:rPr>
                <w:t>ט'</w:t>
              </w:r>
            </w:sdtContent>
          </w:sdt>
        </w:p>
        <w:p w:rsidR="002914D6" w:rsidRDefault="002914D6">
          <w:pPr>
            <w:rPr>
              <w:rtl/>
            </w:rPr>
          </w:pPr>
        </w:p>
        <w:p w:rsidR="0087043C" w:rsidRDefault="0087043C">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014EE3"/>
    <w:multiLevelType w:val="hybridMultilevel"/>
    <w:tmpl w:val="9F32D3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F0C677F"/>
    <w:multiLevelType w:val="hybridMultilevel"/>
    <w:tmpl w:val="9F32D31E"/>
    <w:lvl w:ilvl="0" w:tplc="0409000F">
      <w:start w:val="1"/>
      <w:numFmt w:val="decimal"/>
      <w:lvlText w:val="%1."/>
      <w:lvlJc w:val="left"/>
      <w:pPr>
        <w:ind w:left="643"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4CF680D"/>
    <w:multiLevelType w:val="hybridMultilevel"/>
    <w:tmpl w:val="69E4AD8E"/>
    <w:lvl w:ilvl="0" w:tplc="B142C016">
      <w:start w:val="1"/>
      <w:numFmt w:val="decimal"/>
      <w:lvlText w:val="%1."/>
      <w:lvlJc w:val="left"/>
      <w:pPr>
        <w:ind w:left="720" w:hanging="360"/>
      </w:pPr>
      <w:rPr>
        <w:rFonts w:cs="David"/>
        <w:b w:val="0"/>
        <w:bCs w:val="0"/>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77544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775441&amp;lt;/CaseID&amp;gt;_x000d__x000a_        &amp;lt;CaseMonth&amp;gt;9&amp;lt;/CaseMonth&amp;gt;_x000d__x000a_        &amp;lt;CaseYear&amp;gt;2019&amp;lt;/CaseYear&amp;gt;_x000d__x000a_        &amp;lt;CaseNumber&amp;gt;30031&amp;lt;/CaseNumber&amp;gt;_x000d__x000a_        &amp;lt;NumeratorGroupID&amp;gt;1&amp;lt;/NumeratorGroupID&amp;gt;_x000d__x000a_        &amp;lt;CaseName&amp;gt;טובי נ&amp;#39; טובי&amp;lt;/CaseName&amp;gt;_x000d__x000a_        &amp;lt;CourtID&amp;gt;30&amp;lt;/CourtID&amp;gt;_x000d__x000a_        &amp;lt;CaseTypeID&amp;gt;10262&amp;lt;/CaseTypeID&amp;gt;_x000d__x000a_        &amp;lt;CaseInterestID&amp;gt;10513&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031-09-19&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09-12T08:44: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775441&amp;lt;/CaseID&amp;gt;_x000d__x000a_        &amp;lt;CaseMonth&amp;gt;9&amp;lt;/CaseMonth&amp;gt;_x000d__x000a_        &amp;lt;CaseYear&amp;gt;2019&amp;lt;/CaseYear&amp;gt;_x000d__x000a_        &amp;lt;CaseNumber&amp;gt;30031&amp;lt;/CaseNumber&amp;gt;_x000d__x000a_        &amp;lt;NumeratorGroupID&amp;gt;1&amp;lt;/NumeratorGroupID&amp;gt;_x000d__x000a_        &amp;lt;CaseName&amp;gt;טובי נ&amp;#39; טובי&amp;lt;/CaseName&amp;gt;_x000d__x000a_        &amp;lt;CourtID&amp;gt;30&amp;lt;/CourtID&amp;gt;_x000d__x000a_        &amp;lt;CaseTypeID&amp;gt;10262&amp;lt;/CaseTypeID&amp;gt;_x000d__x000a_        &amp;lt;CaseInterestID&amp;gt;10513&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031-09-19&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19-09-12T08:44: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5786344&amp;lt;/DecisionID&amp;gt;_x000d__x000a_        &amp;lt;DecisionName&amp;gt;פסק דין  שניתנה ע&amp;quot;י  הילה גלבוע&amp;lt;/DecisionName&amp;gt;_x000d__x000a_        &amp;lt;DecisionStatusID&amp;gt;1&amp;lt;/DecisionStatusID&amp;gt;_x000d__x000a_        &amp;lt;DecisionStatusChangeDate&amp;gt;2024-05-27T13:49:50.7+03:00&amp;lt;/DecisionStatusChangeDate&amp;gt;_x000d__x000a_        &amp;lt;DecisionSignatureDate&amp;gt;2023-06-22T14:39:30.363+03:00&amp;lt;/DecisionSignatureDate&amp;gt;_x000d__x000a_        &amp;lt;DecisionSignatureUserID&amp;gt;033663675@GOV.IL&amp;lt;/DecisionSignatureUserID&amp;gt;_x000d__x000a_        &amp;lt;DecisionCreateDate&amp;gt;2023-06-22T14:32:06.717+03:00&amp;lt;/DecisionCreateDate&amp;gt;_x000d__x000a_        &amp;lt;DecisionChangeDate&amp;gt;2024-05-27T13:49:50.85+03:00&amp;lt;/DecisionChangeDate&amp;gt;_x000d__x000a_        &amp;lt;DecisionChangeUserID&amp;gt;0400624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477151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6636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062416@GOV.IL&amp;lt;/DecisionCreationUserID&amp;gt;_x000d__x000a_        &amp;lt;DecisionDisplayName&amp;gt;פסק דין  שניתנה ע&amp;quot;י  הילה גלבוע&amp;lt;/DecisionDisplayName&amp;gt;_x000d__x000a_        &amp;lt;IsScanned&amp;gt;false&amp;lt;/IsScanned&amp;gt;_x000d__x000a_        &amp;lt;DecisionSignatureUserName&amp;gt;הילה גלבוע&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5786344&amp;lt;/DecisionID&amp;gt;_x000d__x000a_        &amp;lt;CaseID&amp;gt;76775441&amp;lt;/CaseID&amp;gt;_x000d__x000a_        &amp;lt;IsOriginal&amp;gt;true&amp;lt;/IsOriginal&amp;gt;_x000d__x000a_        &amp;lt;IsDeleted&amp;gt;false&amp;lt;/IsDeleted&amp;gt;_x000d__x000a_        &amp;lt;CaseName&amp;gt;טובי נ&amp;#39; טובי&amp;lt;/CaseName&amp;gt;_x000d__x000a_        &amp;lt;CaseDisplayIdentifier&amp;gt;30031-09-19 תלה&amp;quot;מ&amp;lt;/CaseDisplayIdentifier&amp;gt;_x000d__x000a_      &amp;lt;/dt_DecisionCase&amp;gt;_x000d__x000a_    &amp;lt;/DecisionDS&amp;gt;_x000d__x000a_  &amp;lt;/diffgr:diffgram&amp;gt;_x000d__x000a_&amp;lt;/DecisionDS&amp;gt;"/>
    <w:docVar w:name="DecisionID" w:val="145786344"/>
    <w:docVar w:name="WordClientAssemblyName" w:val="NGCS.Decision.ClientWordBL"/>
    <w:docVar w:name="WordClientClassName" w:val="NGCS.Decision.ClientWordBL.DecisionClient"/>
  </w:docVars>
  <w:rsids>
    <w:rsidRoot w:val="002914D6"/>
    <w:rsid w:val="000034F4"/>
    <w:rsid w:val="0000530E"/>
    <w:rsid w:val="000053A1"/>
    <w:rsid w:val="00011212"/>
    <w:rsid w:val="00015F37"/>
    <w:rsid w:val="00024C3E"/>
    <w:rsid w:val="000300A6"/>
    <w:rsid w:val="00030266"/>
    <w:rsid w:val="00030C58"/>
    <w:rsid w:val="00034863"/>
    <w:rsid w:val="00040BB7"/>
    <w:rsid w:val="0004126E"/>
    <w:rsid w:val="00043C4F"/>
    <w:rsid w:val="00045571"/>
    <w:rsid w:val="000507B0"/>
    <w:rsid w:val="000642EB"/>
    <w:rsid w:val="00077FBD"/>
    <w:rsid w:val="000813E3"/>
    <w:rsid w:val="00083AD9"/>
    <w:rsid w:val="0008647C"/>
    <w:rsid w:val="00092369"/>
    <w:rsid w:val="000D414A"/>
    <w:rsid w:val="000D79AC"/>
    <w:rsid w:val="000E3584"/>
    <w:rsid w:val="000E7608"/>
    <w:rsid w:val="000F4DD8"/>
    <w:rsid w:val="000F585A"/>
    <w:rsid w:val="00101DFF"/>
    <w:rsid w:val="00110235"/>
    <w:rsid w:val="00110618"/>
    <w:rsid w:val="001120A3"/>
    <w:rsid w:val="0012178C"/>
    <w:rsid w:val="00122B0C"/>
    <w:rsid w:val="0012436A"/>
    <w:rsid w:val="00135A04"/>
    <w:rsid w:val="00135E26"/>
    <w:rsid w:val="00135F50"/>
    <w:rsid w:val="00143975"/>
    <w:rsid w:val="00167BDA"/>
    <w:rsid w:val="00174E1E"/>
    <w:rsid w:val="00180929"/>
    <w:rsid w:val="00180DBA"/>
    <w:rsid w:val="00185623"/>
    <w:rsid w:val="001905E9"/>
    <w:rsid w:val="00192B54"/>
    <w:rsid w:val="001942D2"/>
    <w:rsid w:val="001956B0"/>
    <w:rsid w:val="0019679C"/>
    <w:rsid w:val="001A0408"/>
    <w:rsid w:val="001B2E61"/>
    <w:rsid w:val="001C00A5"/>
    <w:rsid w:val="001D6BB3"/>
    <w:rsid w:val="001E19CA"/>
    <w:rsid w:val="001E2A95"/>
    <w:rsid w:val="001E5E9A"/>
    <w:rsid w:val="001F7A82"/>
    <w:rsid w:val="001F7ACA"/>
    <w:rsid w:val="00206234"/>
    <w:rsid w:val="00212AE5"/>
    <w:rsid w:val="00220510"/>
    <w:rsid w:val="00222B1B"/>
    <w:rsid w:val="002249AD"/>
    <w:rsid w:val="0023115E"/>
    <w:rsid w:val="00235E95"/>
    <w:rsid w:val="002367A9"/>
    <w:rsid w:val="002421DC"/>
    <w:rsid w:val="00250487"/>
    <w:rsid w:val="002511B2"/>
    <w:rsid w:val="0026080F"/>
    <w:rsid w:val="002616A2"/>
    <w:rsid w:val="002728FE"/>
    <w:rsid w:val="0027494C"/>
    <w:rsid w:val="00276853"/>
    <w:rsid w:val="002900DD"/>
    <w:rsid w:val="002914D6"/>
    <w:rsid w:val="00291F1A"/>
    <w:rsid w:val="0029578C"/>
    <w:rsid w:val="0029640A"/>
    <w:rsid w:val="002A21D0"/>
    <w:rsid w:val="002A37C1"/>
    <w:rsid w:val="002A3D5D"/>
    <w:rsid w:val="002B762F"/>
    <w:rsid w:val="002C4554"/>
    <w:rsid w:val="002D21C7"/>
    <w:rsid w:val="002E0569"/>
    <w:rsid w:val="002E63EF"/>
    <w:rsid w:val="002F2B93"/>
    <w:rsid w:val="002F5307"/>
    <w:rsid w:val="00301205"/>
    <w:rsid w:val="0030146B"/>
    <w:rsid w:val="003136FE"/>
    <w:rsid w:val="00313F73"/>
    <w:rsid w:val="003167AE"/>
    <w:rsid w:val="00326F99"/>
    <w:rsid w:val="003334C8"/>
    <w:rsid w:val="003426E0"/>
    <w:rsid w:val="00351B0C"/>
    <w:rsid w:val="00351C5F"/>
    <w:rsid w:val="00356E4F"/>
    <w:rsid w:val="00356F62"/>
    <w:rsid w:val="00360A5D"/>
    <w:rsid w:val="003679E5"/>
    <w:rsid w:val="00383798"/>
    <w:rsid w:val="00386C46"/>
    <w:rsid w:val="00393BC7"/>
    <w:rsid w:val="003945CE"/>
    <w:rsid w:val="00396CE8"/>
    <w:rsid w:val="003B10A5"/>
    <w:rsid w:val="003B5950"/>
    <w:rsid w:val="003C3732"/>
    <w:rsid w:val="003C3948"/>
    <w:rsid w:val="003C7C85"/>
    <w:rsid w:val="003D6A57"/>
    <w:rsid w:val="003E5757"/>
    <w:rsid w:val="004016F2"/>
    <w:rsid w:val="00404A3A"/>
    <w:rsid w:val="0041189B"/>
    <w:rsid w:val="0041442D"/>
    <w:rsid w:val="0042279E"/>
    <w:rsid w:val="004274CF"/>
    <w:rsid w:val="00436626"/>
    <w:rsid w:val="004374F6"/>
    <w:rsid w:val="004509C1"/>
    <w:rsid w:val="00454A39"/>
    <w:rsid w:val="00466354"/>
    <w:rsid w:val="00470F8D"/>
    <w:rsid w:val="004820D1"/>
    <w:rsid w:val="00482635"/>
    <w:rsid w:val="00484056"/>
    <w:rsid w:val="00493FC9"/>
    <w:rsid w:val="00497DA7"/>
    <w:rsid w:val="004C25BF"/>
    <w:rsid w:val="004C398C"/>
    <w:rsid w:val="004C74EF"/>
    <w:rsid w:val="004D0165"/>
    <w:rsid w:val="004D66C0"/>
    <w:rsid w:val="004D6EEA"/>
    <w:rsid w:val="004F2AF5"/>
    <w:rsid w:val="00507359"/>
    <w:rsid w:val="00513A06"/>
    <w:rsid w:val="00521467"/>
    <w:rsid w:val="00522738"/>
    <w:rsid w:val="005242FB"/>
    <w:rsid w:val="00532F84"/>
    <w:rsid w:val="005331CE"/>
    <w:rsid w:val="005332EB"/>
    <w:rsid w:val="00533734"/>
    <w:rsid w:val="00542C73"/>
    <w:rsid w:val="005455F7"/>
    <w:rsid w:val="005514AB"/>
    <w:rsid w:val="005514AF"/>
    <w:rsid w:val="00552CFA"/>
    <w:rsid w:val="00567878"/>
    <w:rsid w:val="00570616"/>
    <w:rsid w:val="0057483B"/>
    <w:rsid w:val="005863B5"/>
    <w:rsid w:val="005956E6"/>
    <w:rsid w:val="005A6075"/>
    <w:rsid w:val="005A743A"/>
    <w:rsid w:val="005B2A1F"/>
    <w:rsid w:val="005B4C0B"/>
    <w:rsid w:val="005D2089"/>
    <w:rsid w:val="005D50D5"/>
    <w:rsid w:val="005E014C"/>
    <w:rsid w:val="005F0F4F"/>
    <w:rsid w:val="005F1F27"/>
    <w:rsid w:val="005F31ED"/>
    <w:rsid w:val="005F7B56"/>
    <w:rsid w:val="00602A4B"/>
    <w:rsid w:val="00605A11"/>
    <w:rsid w:val="0061624C"/>
    <w:rsid w:val="00617D2D"/>
    <w:rsid w:val="00620A51"/>
    <w:rsid w:val="00625CAB"/>
    <w:rsid w:val="006363FC"/>
    <w:rsid w:val="00657736"/>
    <w:rsid w:val="00666726"/>
    <w:rsid w:val="0066770A"/>
    <w:rsid w:val="00674AE7"/>
    <w:rsid w:val="0067686F"/>
    <w:rsid w:val="00680592"/>
    <w:rsid w:val="00681540"/>
    <w:rsid w:val="0068172B"/>
    <w:rsid w:val="00694FEE"/>
    <w:rsid w:val="00696068"/>
    <w:rsid w:val="006966A0"/>
    <w:rsid w:val="006A00EC"/>
    <w:rsid w:val="006A02CD"/>
    <w:rsid w:val="006A0E78"/>
    <w:rsid w:val="006A3458"/>
    <w:rsid w:val="006A3F88"/>
    <w:rsid w:val="006A5DC5"/>
    <w:rsid w:val="006A612D"/>
    <w:rsid w:val="006B20F8"/>
    <w:rsid w:val="006B2EC5"/>
    <w:rsid w:val="006B41B5"/>
    <w:rsid w:val="006B5454"/>
    <w:rsid w:val="006B5C4F"/>
    <w:rsid w:val="006B75C1"/>
    <w:rsid w:val="006C2FD0"/>
    <w:rsid w:val="006C3318"/>
    <w:rsid w:val="006C42A3"/>
    <w:rsid w:val="006C5F81"/>
    <w:rsid w:val="006C648B"/>
    <w:rsid w:val="006C7CE5"/>
    <w:rsid w:val="006D1AD5"/>
    <w:rsid w:val="006D1D29"/>
    <w:rsid w:val="006D3E2B"/>
    <w:rsid w:val="006D592E"/>
    <w:rsid w:val="006D69F4"/>
    <w:rsid w:val="006D7D2C"/>
    <w:rsid w:val="006E0BA0"/>
    <w:rsid w:val="006E1E8F"/>
    <w:rsid w:val="006E2C7A"/>
    <w:rsid w:val="006E67DC"/>
    <w:rsid w:val="006F3471"/>
    <w:rsid w:val="007015D0"/>
    <w:rsid w:val="00713CEA"/>
    <w:rsid w:val="00716ED4"/>
    <w:rsid w:val="0072046E"/>
    <w:rsid w:val="00722F70"/>
    <w:rsid w:val="0073538B"/>
    <w:rsid w:val="00740800"/>
    <w:rsid w:val="00741683"/>
    <w:rsid w:val="00744759"/>
    <w:rsid w:val="00752B49"/>
    <w:rsid w:val="007548ED"/>
    <w:rsid w:val="00756188"/>
    <w:rsid w:val="007602FF"/>
    <w:rsid w:val="00762B85"/>
    <w:rsid w:val="00766229"/>
    <w:rsid w:val="0076725E"/>
    <w:rsid w:val="00771779"/>
    <w:rsid w:val="00777060"/>
    <w:rsid w:val="007819F4"/>
    <w:rsid w:val="00787C7D"/>
    <w:rsid w:val="00790943"/>
    <w:rsid w:val="00791E61"/>
    <w:rsid w:val="00796EDD"/>
    <w:rsid w:val="007A1937"/>
    <w:rsid w:val="007A4DB4"/>
    <w:rsid w:val="007B13CD"/>
    <w:rsid w:val="007B7BD4"/>
    <w:rsid w:val="007C1787"/>
    <w:rsid w:val="007C6390"/>
    <w:rsid w:val="007D3091"/>
    <w:rsid w:val="007D5EDE"/>
    <w:rsid w:val="007F123D"/>
    <w:rsid w:val="007F29F6"/>
    <w:rsid w:val="007F2FBC"/>
    <w:rsid w:val="007F77D6"/>
    <w:rsid w:val="008066D1"/>
    <w:rsid w:val="0081376F"/>
    <w:rsid w:val="00814C9F"/>
    <w:rsid w:val="00822AA5"/>
    <w:rsid w:val="0082596F"/>
    <w:rsid w:val="0082772E"/>
    <w:rsid w:val="0083704F"/>
    <w:rsid w:val="00842D2C"/>
    <w:rsid w:val="00852BDD"/>
    <w:rsid w:val="008550B9"/>
    <w:rsid w:val="00856062"/>
    <w:rsid w:val="00862B83"/>
    <w:rsid w:val="0087043C"/>
    <w:rsid w:val="0087418B"/>
    <w:rsid w:val="008757D3"/>
    <w:rsid w:val="008841EF"/>
    <w:rsid w:val="008A0630"/>
    <w:rsid w:val="008A1CE7"/>
    <w:rsid w:val="008A233F"/>
    <w:rsid w:val="008A2D71"/>
    <w:rsid w:val="008A3238"/>
    <w:rsid w:val="008A7082"/>
    <w:rsid w:val="008B22E1"/>
    <w:rsid w:val="008D5EEF"/>
    <w:rsid w:val="008D6FDB"/>
    <w:rsid w:val="008F2186"/>
    <w:rsid w:val="008F32DB"/>
    <w:rsid w:val="008F344E"/>
    <w:rsid w:val="008F3460"/>
    <w:rsid w:val="008F69AC"/>
    <w:rsid w:val="00910062"/>
    <w:rsid w:val="0091740A"/>
    <w:rsid w:val="009257C8"/>
    <w:rsid w:val="00941D75"/>
    <w:rsid w:val="00957D64"/>
    <w:rsid w:val="00960B0A"/>
    <w:rsid w:val="009679F6"/>
    <w:rsid w:val="0097678B"/>
    <w:rsid w:val="00986115"/>
    <w:rsid w:val="00987B82"/>
    <w:rsid w:val="00990DF2"/>
    <w:rsid w:val="009A0B49"/>
    <w:rsid w:val="009A1BED"/>
    <w:rsid w:val="009A425E"/>
    <w:rsid w:val="009A45E3"/>
    <w:rsid w:val="009A6344"/>
    <w:rsid w:val="009B1954"/>
    <w:rsid w:val="009C4B33"/>
    <w:rsid w:val="009C6B06"/>
    <w:rsid w:val="009C6E4F"/>
    <w:rsid w:val="009D1BCB"/>
    <w:rsid w:val="009E5D32"/>
    <w:rsid w:val="009E673C"/>
    <w:rsid w:val="00A00E8B"/>
    <w:rsid w:val="00A0160B"/>
    <w:rsid w:val="00A06189"/>
    <w:rsid w:val="00A067BF"/>
    <w:rsid w:val="00A07A2F"/>
    <w:rsid w:val="00A144A1"/>
    <w:rsid w:val="00A20B2B"/>
    <w:rsid w:val="00A25441"/>
    <w:rsid w:val="00A3038B"/>
    <w:rsid w:val="00A316FE"/>
    <w:rsid w:val="00A34AB3"/>
    <w:rsid w:val="00A3642E"/>
    <w:rsid w:val="00A527AF"/>
    <w:rsid w:val="00A56895"/>
    <w:rsid w:val="00A57039"/>
    <w:rsid w:val="00A62D3C"/>
    <w:rsid w:val="00A65247"/>
    <w:rsid w:val="00A66F4F"/>
    <w:rsid w:val="00A67C4E"/>
    <w:rsid w:val="00A70D6C"/>
    <w:rsid w:val="00A76AAF"/>
    <w:rsid w:val="00A820BF"/>
    <w:rsid w:val="00A86243"/>
    <w:rsid w:val="00A87DD7"/>
    <w:rsid w:val="00A91F9A"/>
    <w:rsid w:val="00A9410A"/>
    <w:rsid w:val="00A943AF"/>
    <w:rsid w:val="00A95E9A"/>
    <w:rsid w:val="00AA3E2E"/>
    <w:rsid w:val="00AA4A61"/>
    <w:rsid w:val="00AA5D84"/>
    <w:rsid w:val="00AC0B3A"/>
    <w:rsid w:val="00AC3D91"/>
    <w:rsid w:val="00AC7A06"/>
    <w:rsid w:val="00AC7F08"/>
    <w:rsid w:val="00AD3D48"/>
    <w:rsid w:val="00AD6732"/>
    <w:rsid w:val="00AD6DC5"/>
    <w:rsid w:val="00AE3AFD"/>
    <w:rsid w:val="00AE5FE7"/>
    <w:rsid w:val="00AF4B17"/>
    <w:rsid w:val="00AF77FC"/>
    <w:rsid w:val="00B049CD"/>
    <w:rsid w:val="00B20453"/>
    <w:rsid w:val="00B217CB"/>
    <w:rsid w:val="00B223AA"/>
    <w:rsid w:val="00B229A7"/>
    <w:rsid w:val="00B323CE"/>
    <w:rsid w:val="00B34CC7"/>
    <w:rsid w:val="00B46C83"/>
    <w:rsid w:val="00B55D43"/>
    <w:rsid w:val="00B624D5"/>
    <w:rsid w:val="00B63897"/>
    <w:rsid w:val="00B6688A"/>
    <w:rsid w:val="00B702D2"/>
    <w:rsid w:val="00B70C90"/>
    <w:rsid w:val="00B7177B"/>
    <w:rsid w:val="00B7759D"/>
    <w:rsid w:val="00B77965"/>
    <w:rsid w:val="00B80A6E"/>
    <w:rsid w:val="00B83B81"/>
    <w:rsid w:val="00B85466"/>
    <w:rsid w:val="00B86247"/>
    <w:rsid w:val="00B90614"/>
    <w:rsid w:val="00B97ABE"/>
    <w:rsid w:val="00BB471E"/>
    <w:rsid w:val="00BD30EC"/>
    <w:rsid w:val="00BD321C"/>
    <w:rsid w:val="00BD7A1B"/>
    <w:rsid w:val="00BE41F9"/>
    <w:rsid w:val="00BE6379"/>
    <w:rsid w:val="00BF19CE"/>
    <w:rsid w:val="00BF4995"/>
    <w:rsid w:val="00C05B52"/>
    <w:rsid w:val="00C116AD"/>
    <w:rsid w:val="00C201FF"/>
    <w:rsid w:val="00C320E8"/>
    <w:rsid w:val="00C370CC"/>
    <w:rsid w:val="00C41171"/>
    <w:rsid w:val="00C47406"/>
    <w:rsid w:val="00C55821"/>
    <w:rsid w:val="00C57F46"/>
    <w:rsid w:val="00C62DF7"/>
    <w:rsid w:val="00C6364B"/>
    <w:rsid w:val="00C727D8"/>
    <w:rsid w:val="00C852C7"/>
    <w:rsid w:val="00C901F9"/>
    <w:rsid w:val="00C90267"/>
    <w:rsid w:val="00C924AE"/>
    <w:rsid w:val="00C92DA6"/>
    <w:rsid w:val="00CB1D0A"/>
    <w:rsid w:val="00CB2662"/>
    <w:rsid w:val="00CC397E"/>
    <w:rsid w:val="00CD5423"/>
    <w:rsid w:val="00CD794F"/>
    <w:rsid w:val="00D00E84"/>
    <w:rsid w:val="00D012BB"/>
    <w:rsid w:val="00D1080B"/>
    <w:rsid w:val="00D1192C"/>
    <w:rsid w:val="00D21853"/>
    <w:rsid w:val="00D23822"/>
    <w:rsid w:val="00D358FE"/>
    <w:rsid w:val="00D36D7A"/>
    <w:rsid w:val="00D454BA"/>
    <w:rsid w:val="00D5218A"/>
    <w:rsid w:val="00D54B3A"/>
    <w:rsid w:val="00D54B88"/>
    <w:rsid w:val="00D755F3"/>
    <w:rsid w:val="00D80992"/>
    <w:rsid w:val="00D859C1"/>
    <w:rsid w:val="00D92179"/>
    <w:rsid w:val="00D94839"/>
    <w:rsid w:val="00D94DFB"/>
    <w:rsid w:val="00DA1DF6"/>
    <w:rsid w:val="00DA3C0D"/>
    <w:rsid w:val="00DA4F42"/>
    <w:rsid w:val="00DB3EDD"/>
    <w:rsid w:val="00DB54C4"/>
    <w:rsid w:val="00DB78E9"/>
    <w:rsid w:val="00DB793C"/>
    <w:rsid w:val="00DD0015"/>
    <w:rsid w:val="00DD5590"/>
    <w:rsid w:val="00DD6909"/>
    <w:rsid w:val="00DE1002"/>
    <w:rsid w:val="00DE3FA1"/>
    <w:rsid w:val="00DE3FA6"/>
    <w:rsid w:val="00DF052D"/>
    <w:rsid w:val="00DF4EE8"/>
    <w:rsid w:val="00E02779"/>
    <w:rsid w:val="00E21AAC"/>
    <w:rsid w:val="00E23AED"/>
    <w:rsid w:val="00E23D6D"/>
    <w:rsid w:val="00E260AF"/>
    <w:rsid w:val="00E4146B"/>
    <w:rsid w:val="00E468E3"/>
    <w:rsid w:val="00E50BBB"/>
    <w:rsid w:val="00E65209"/>
    <w:rsid w:val="00E672C9"/>
    <w:rsid w:val="00E822CF"/>
    <w:rsid w:val="00E837E6"/>
    <w:rsid w:val="00E97BD9"/>
    <w:rsid w:val="00EA0ABB"/>
    <w:rsid w:val="00EA100A"/>
    <w:rsid w:val="00EA2BC3"/>
    <w:rsid w:val="00EB32FC"/>
    <w:rsid w:val="00EB406E"/>
    <w:rsid w:val="00EC6B60"/>
    <w:rsid w:val="00ED2FB0"/>
    <w:rsid w:val="00EE0301"/>
    <w:rsid w:val="00EE118F"/>
    <w:rsid w:val="00EE7A38"/>
    <w:rsid w:val="00EF220C"/>
    <w:rsid w:val="00F03998"/>
    <w:rsid w:val="00F04940"/>
    <w:rsid w:val="00F0636A"/>
    <w:rsid w:val="00F10E03"/>
    <w:rsid w:val="00F1400E"/>
    <w:rsid w:val="00F175E3"/>
    <w:rsid w:val="00F2667A"/>
    <w:rsid w:val="00F27F40"/>
    <w:rsid w:val="00F32538"/>
    <w:rsid w:val="00F32C5E"/>
    <w:rsid w:val="00F338D3"/>
    <w:rsid w:val="00F33BBE"/>
    <w:rsid w:val="00F36EBA"/>
    <w:rsid w:val="00F41FDB"/>
    <w:rsid w:val="00F468E1"/>
    <w:rsid w:val="00F472E9"/>
    <w:rsid w:val="00F50E07"/>
    <w:rsid w:val="00F52A00"/>
    <w:rsid w:val="00F6279A"/>
    <w:rsid w:val="00F63EDC"/>
    <w:rsid w:val="00F664BD"/>
    <w:rsid w:val="00F67543"/>
    <w:rsid w:val="00F80BD2"/>
    <w:rsid w:val="00F81405"/>
    <w:rsid w:val="00F82E72"/>
    <w:rsid w:val="00F86954"/>
    <w:rsid w:val="00F9100E"/>
    <w:rsid w:val="00F93CFF"/>
    <w:rsid w:val="00F97170"/>
    <w:rsid w:val="00FA0067"/>
    <w:rsid w:val="00FA40E8"/>
    <w:rsid w:val="00FA60F2"/>
    <w:rsid w:val="00FD1103"/>
    <w:rsid w:val="00FD4609"/>
    <w:rsid w:val="00FE3351"/>
    <w:rsid w:val="00FE4A26"/>
    <w:rsid w:val="00FF61A8"/>
    <w:rsid w:val="00FF78D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14AB"/>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1956B0"/>
    <w:pPr>
      <w:ind w:left="720"/>
      <w:contextualSpacing/>
    </w:pPr>
  </w:style>
  <w:style w:type="character" w:styleId="Hyperlink">
    <w:name w:val="Hyperlink"/>
    <w:basedOn w:val="a0"/>
    <w:unhideWhenUsed/>
    <w:rsid w:val="00C727D8"/>
    <w:rPr>
      <w:color w:val="0000FF"/>
      <w:u w:val="single"/>
    </w:rPr>
  </w:style>
  <w:style w:type="paragraph" w:customStyle="1" w:styleId="1">
    <w:name w:val="פיסקת רשימה1"/>
    <w:basedOn w:val="a"/>
    <w:qFormat/>
    <w:rsid w:val="00F664BD"/>
    <w:pPr>
      <w:spacing w:after="160" w:line="254" w:lineRule="auto"/>
      <w:ind w:left="720"/>
      <w:contextualSpacing/>
    </w:pPr>
    <w:rPr>
      <w:rFonts w:ascii="Calibri" w:hAnsi="Calibri"/>
      <w:noProof w:val="0"/>
      <w:sz w:val="22"/>
    </w:rPr>
  </w:style>
  <w:style w:type="character" w:customStyle="1" w:styleId="default">
    <w:name w:val="default"/>
    <w:rsid w:val="00F664BD"/>
    <w:rPr>
      <w:rFonts w:ascii="Times New Roman" w:hAnsi="Times New Roman" w:cs="Times New Roman" w:hint="default"/>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17537">
      <w:bodyDiv w:val="1"/>
      <w:marLeft w:val="0"/>
      <w:marRight w:val="0"/>
      <w:marTop w:val="0"/>
      <w:marBottom w:val="0"/>
      <w:divBdr>
        <w:top w:val="none" w:sz="0" w:space="0" w:color="auto"/>
        <w:left w:val="none" w:sz="0" w:space="0" w:color="auto"/>
        <w:bottom w:val="none" w:sz="0" w:space="0" w:color="auto"/>
        <w:right w:val="none" w:sz="0" w:space="0" w:color="auto"/>
      </w:divBdr>
    </w:div>
    <w:div w:id="405810986">
      <w:bodyDiv w:val="1"/>
      <w:marLeft w:val="0"/>
      <w:marRight w:val="0"/>
      <w:marTop w:val="0"/>
      <w:marBottom w:val="0"/>
      <w:divBdr>
        <w:top w:val="none" w:sz="0" w:space="0" w:color="auto"/>
        <w:left w:val="none" w:sz="0" w:space="0" w:color="auto"/>
        <w:bottom w:val="none" w:sz="0" w:space="0" w:color="auto"/>
        <w:right w:val="none" w:sz="0" w:space="0" w:color="auto"/>
      </w:divBdr>
    </w:div>
    <w:div w:id="478116883">
      <w:bodyDiv w:val="1"/>
      <w:marLeft w:val="0"/>
      <w:marRight w:val="0"/>
      <w:marTop w:val="0"/>
      <w:marBottom w:val="0"/>
      <w:divBdr>
        <w:top w:val="none" w:sz="0" w:space="0" w:color="auto"/>
        <w:left w:val="none" w:sz="0" w:space="0" w:color="auto"/>
        <w:bottom w:val="none" w:sz="0" w:space="0" w:color="auto"/>
        <w:right w:val="none" w:sz="0" w:space="0" w:color="auto"/>
      </w:divBdr>
    </w:div>
    <w:div w:id="616834344">
      <w:bodyDiv w:val="1"/>
      <w:marLeft w:val="0"/>
      <w:marRight w:val="0"/>
      <w:marTop w:val="0"/>
      <w:marBottom w:val="0"/>
      <w:divBdr>
        <w:top w:val="none" w:sz="0" w:space="0" w:color="auto"/>
        <w:left w:val="none" w:sz="0" w:space="0" w:color="auto"/>
        <w:bottom w:val="none" w:sz="0" w:space="0" w:color="auto"/>
        <w:right w:val="none" w:sz="0" w:space="0" w:color="auto"/>
      </w:divBdr>
    </w:div>
    <w:div w:id="806320721">
      <w:bodyDiv w:val="1"/>
      <w:marLeft w:val="0"/>
      <w:marRight w:val="0"/>
      <w:marTop w:val="0"/>
      <w:marBottom w:val="0"/>
      <w:divBdr>
        <w:top w:val="none" w:sz="0" w:space="0" w:color="auto"/>
        <w:left w:val="none" w:sz="0" w:space="0" w:color="auto"/>
        <w:bottom w:val="none" w:sz="0" w:space="0" w:color="auto"/>
        <w:right w:val="none" w:sz="0" w:space="0" w:color="auto"/>
      </w:divBdr>
    </w:div>
    <w:div w:id="1085568099">
      <w:bodyDiv w:val="1"/>
      <w:marLeft w:val="0"/>
      <w:marRight w:val="0"/>
      <w:marTop w:val="0"/>
      <w:marBottom w:val="0"/>
      <w:divBdr>
        <w:top w:val="none" w:sz="0" w:space="0" w:color="auto"/>
        <w:left w:val="none" w:sz="0" w:space="0" w:color="auto"/>
        <w:bottom w:val="none" w:sz="0" w:space="0" w:color="auto"/>
        <w:right w:val="none" w:sz="0" w:space="0" w:color="auto"/>
      </w:divBdr>
    </w:div>
    <w:div w:id="1217551845">
      <w:bodyDiv w:val="1"/>
      <w:marLeft w:val="0"/>
      <w:marRight w:val="0"/>
      <w:marTop w:val="0"/>
      <w:marBottom w:val="0"/>
      <w:divBdr>
        <w:top w:val="none" w:sz="0" w:space="0" w:color="auto"/>
        <w:left w:val="none" w:sz="0" w:space="0" w:color="auto"/>
        <w:bottom w:val="none" w:sz="0" w:space="0" w:color="auto"/>
        <w:right w:val="none" w:sz="0" w:space="0" w:color="auto"/>
      </w:divBdr>
    </w:div>
    <w:div w:id="1449812663">
      <w:bodyDiv w:val="1"/>
      <w:marLeft w:val="0"/>
      <w:marRight w:val="0"/>
      <w:marTop w:val="0"/>
      <w:marBottom w:val="0"/>
      <w:divBdr>
        <w:top w:val="none" w:sz="0" w:space="0" w:color="auto"/>
        <w:left w:val="none" w:sz="0" w:space="0" w:color="auto"/>
        <w:bottom w:val="none" w:sz="0" w:space="0" w:color="auto"/>
        <w:right w:val="none" w:sz="0" w:space="0" w:color="auto"/>
      </w:divBdr>
    </w:div>
    <w:div w:id="1489051211">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1879858695">
      <w:bodyDiv w:val="1"/>
      <w:marLeft w:val="0"/>
      <w:marRight w:val="0"/>
      <w:marTop w:val="0"/>
      <w:marBottom w:val="0"/>
      <w:divBdr>
        <w:top w:val="none" w:sz="0" w:space="0" w:color="auto"/>
        <w:left w:val="none" w:sz="0" w:space="0" w:color="auto"/>
        <w:bottom w:val="none" w:sz="0" w:space="0" w:color="auto"/>
        <w:right w:val="none" w:sz="0" w:space="0" w:color="auto"/>
      </w:divBdr>
    </w:div>
    <w:div w:id="197822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5001"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nevo.co.il/law/75001/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nevo.co.il/psika_html/elyon/06048700-t07.ht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nevo.co.il/law/7213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ציפי לביא</FullName>
        <FirstName>ציפי</FirstName>
        <LastName>לביא</LastName>
        <PartyPropertyName/>
        <AuthenticationTypeAndNumber>ת"ז 050315480</AuthenticationTypeAndNumber>
        <RepresentatedOrRepresentativesNames/>
        <RepresentatedOrRepresentativesCount>0</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206346037</CasePartyID>
        <PartyTypeID>5</PartyTypeID>
        <ActivityStatusID>1</ActivityStatusID>
        <PartyAliasID>102</PartyAliasID>
        <PartyAliasName>מומחה בית משפט</PartyAliasName>
        <LegalEntityID>69794545</LegalEntityID>
        <CaseLegalEntityID>109380429</CaseLegalEntityID>
        <AuthenticationTypeID>1</AuthenticationTypeID>
        <AuthenticationTypeName>ת"ז</AuthenticationTypeName>
        <LegalEntityNumber>050315480</LegalEntityNumber>
        <IsMainPartyType>true</IsMainPartyType>
        <CaseDisplayIdentifier>30031-09-19</CaseDisplayIdentifier>
        <CaseTypeID>10262</CaseTypeID>
        <CaseTypeName>תביעה לאחר הסדר התדיינויות במשפחה (תלה"מ)</CaseTypeName>
        <CaseName>טובי נ' טובי</CaseName>
        <FullAddress>מושב רמת רזיאל 153 רמת רזיאל </FullAddress>
        <EmailAddress>lavizipi@bezeqint.net</EmailAddress>
        <MotionID>0</MotionID>
        <CasePleaID>0</CasePleaID>
        <LinkedCaseID>0</LinkedCaseID>
        <CasePartyCategoryID>1</CasePartyCategoryID>
        <LegalEntityAddressID>72912296</LegalEntityAddressID>
        <LegalEntityEmailAddressID>67842356</LegalEntityEmailAddressID>
        <PleaTypeID>4</PleaTypeID>
        <GroupPartyAlias/>
        <IsConverted>false</IsConverted>
        <LegalEntityNameID>71946702</LegalEntityNameID>
        <RepresentatedNamesOfAssistant/>
        <LegalEntityTypeID>6</LegalEntityTypeID>
        <IsVerdictExists>false</IsVerdictExists>
        <IsAsirAzir>false</IsAsirAzir>
        <IsPublicationProhibited>false</IsPublicationProhibited>
        <PublicationProhibitedFullName>ציפי לביא</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ראובן בכר</FullName>
        <FirstName>ראובן</FirstName>
        <LastName>בכר</LastName>
        <PartyPropertyName/>
        <AuthenticationTypeAndNumber>ת"ז 059831321</AuthenticationTypeAndNumber>
        <RepresentatedOrRepresentativesNames/>
        <RepresentatedOrRepresentativesCount>0</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234376640</CasePartyID>
        <PartyTypeID>5</PartyTypeID>
        <ActivityStatusID>1</ActivityStatusID>
        <PartyAliasID>102</PartyAliasID>
        <PartyAliasName>מומחה בית משפט</PartyAliasName>
        <LegalEntityID>57456007</LegalEntityID>
        <CaseLegalEntityID>117767991</CaseLegalEntityID>
        <AuthenticationTypeID>1</AuthenticationTypeID>
        <AuthenticationTypeName>ת"ז</AuthenticationTypeName>
        <LegalEntityNumber>059831321</LegalEntityNumber>
        <IsMainPartyType>true</IsMainPartyType>
        <CaseDisplayIdentifier>30031-09-19</CaseDisplayIdentifier>
        <CaseTypeID>10262</CaseTypeID>
        <CaseTypeName>תביעה לאחר הסדר התדיינויות במשפחה (תלה"מ)</CaseTypeName>
        <CaseName>טובי נ' טובי</CaseName>
        <FullAddress>יפו 97 ת.ד 2315 ירושלים מרכז כלל קומה 9 חדר 925</FullAddress>
        <EmailAddress>breuven@zahav.net.il</EmailAddress>
        <MotionID>0</MotionID>
        <CasePleaID>0</CasePleaID>
        <FatherName xml:space="preserve">        </FatherName>
        <LinkedCaseID>0</LinkedCaseID>
        <CasePartyCategoryID>1</CasePartyCategoryID>
        <LegalEntityAddressID>72099552</LegalEntityAddressID>
        <LegalEntityEmailAddressID>67857114</LegalEntityEmailAddressID>
        <PleaTypeID>4</PleaTypeID>
        <GroupPartyAlias/>
        <IsConverted>false</IsConverted>
        <LegalEntityNameID>87456508</LegalEntityNameID>
        <RepresentatedNamesOfAssistant/>
        <LegalEntityTypeID>6</LegalEntityTypeID>
        <IsVerdictExists>false</IsVerdictExists>
        <IsAsirAzir>false</IsAsirAzir>
        <IsPublicationProhibited>false</IsPublicationProhibited>
        <PublicationProhibitedFullName>ראובן בכר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אבנר נוקראי</FullName>
        <FirstName>אבנר</FirstName>
        <LastName>נוקראי</LastName>
        <PartyPropertyName/>
        <AuthenticationTypeAndNumber>ת"ז 058727561</AuthenticationTypeAndNumber>
        <RepresentatedOrRepresentativesNames/>
        <RepresentatedOrRepresentativesCount>0</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236293965</CasePartyID>
        <PartyTypeID>5</PartyTypeID>
        <ActivityStatusID>1</ActivityStatusID>
        <PartyAliasID>102</PartyAliasID>
        <PartyAliasName>מומחה בית משפט</PartyAliasName>
        <LegalEntityID>20984463</LegalEntityID>
        <CaseLegalEntityID>118344335</CaseLegalEntityID>
        <AuthenticationTypeID>1</AuthenticationTypeID>
        <AuthenticationTypeName>ת"ז</AuthenticationTypeName>
        <LegalEntityNumber>058727561</LegalEntityNumber>
        <IsMainPartyType>true</IsMainPartyType>
        <CaseDisplayIdentifier>30031-09-19</CaseDisplayIdentifier>
        <CaseTypeID>10262</CaseTypeID>
        <CaseTypeName>תביעה לאחר הסדר התדיינויות במשפחה (תלה"מ)</CaseTypeName>
        <CaseName>טובי נ' טובי</CaseName>
        <FullAddress>האוניברסיטה העברית ירושלים </FullAddress>
        <EmailAddress>avner10@013.net.il</EmailAddress>
        <MotionID>0</MotionID>
        <CasePleaID>0</CasePleaID>
        <LinkedCaseID>0</LinkedCaseID>
        <CasePartyCategoryID>1</CasePartyCategoryID>
        <LegalEntityAddressID>83310381</LegalEntityAddressID>
        <LegalEntityEmailAddressID>19819917</LegalEntityEmailAddressID>
        <PleaTypeID>4</PleaTypeID>
        <GroupPartyAlias/>
        <IsConverted>false</IsConverted>
        <LegalEntityNameID>22688662</LegalEntityNameID>
        <RepresentatedNamesOfAssistant/>
        <LegalEntityTypeID>6</LegalEntityTypeID>
        <IsVerdictExists>false</IsVerdictExists>
        <IsAsirAzir>false</IsAsirAzir>
        <IsPublicationProhibited>false</IsPublicationProhibited>
        <PublicationProhibitedFullName>אבנר נוקראי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 שלום</FullName>
        <FirstName>שלומי</FirstName>
        <LastName>שלום</LastName>
        <PartyPropertyName/>
        <AuthenticationTypeAndNumber>מ.ר. 20942</AuthenticationTypeAndNumber>
        <RepresentatedOrRepresentativesNames>יגאל טובי</RepresentatedOrRepresentativesNames>
        <RepresentatedOrRepresentativesCount>1</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254621043</CasePartyID>
        <PartyTypeID>2</PartyTypeID>
        <ActivityStatusID>1</ActivityStatusID>
        <PartyAliasID>20</PartyAliasID>
        <PartyAliasName>בא כוח תובעים</PartyAliasName>
        <LegalEntityID>399088</LegalEntityID>
        <CaseLegalEntityID>124024997</CaseLegalEntityID>
        <AuthenticationTypeID>4</AuthenticationTypeID>
        <AuthenticationTypeName>מ.ר.</AuthenticationTypeName>
        <LegalEntityNumber>20942</LegalEntityNumber>
        <IsMainPartyType>true</IsMainPartyType>
        <CaseDisplayIdentifier>30031-09-19</CaseDisplayIdentifier>
        <CaseTypeID>10262</CaseTypeID>
        <CaseTypeName>תביעה לאחר הסדר התדיינויות במשפחה (תלה"מ)</CaseTypeName>
        <CaseName>טובי נ' טובי</CaseName>
        <FullAddress>שד' הרכס 13 מודיעין-מכבים-רעות* בניין A קומה 4</FullAddress>
        <EmailAddress>shlomi@shalom-adv.co.il</EmailAddress>
        <MotionID>0</MotionID>
        <CasePleaID>0</CasePleaID>
        <LinkedCaseID>0</LinkedCaseID>
        <PartyID>1</PartyID>
        <CasePartyCategoryID>2</CasePartyCategoryID>
        <LegalEntityAddressID>87763281</LegalEntityAddressID>
        <LegalEntityEmailAddressID>68255113</LegalEntityEmailAddressID>
        <PleaTypeID>4</PleaTypeID>
        <LawyerOfficeName>משרד עו"ד: שלומי שלום</LawyerOfficeName>
        <LawyerOfficeID>439732</LawyerOfficeID>
        <GroupPartyAlias/>
        <IsConverted>false</IsConverted>
        <LegalEntityNameID>20072</LegalEntityNameID>
        <RepresentatedNamesOfAssistant/>
        <LegalEntityTypeID>4</LegalEntityTypeID>
        <IsVerdictExists>false</IsVerdictExists>
        <IsAsirAzir>false</IsAsirAzir>
        <IsPublicationProhibited>false</IsPublicationProhibited>
        <PublicationProhibitedFullName>שלומי שלום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רו"ח עוזי עייני</FullName>
        <FirstName>רו"ח עוזי</FirstName>
        <LastName>עייני</LastName>
        <PartyPropertyName/>
        <AuthenticationTypeAndNumber>ת"ז </AuthenticationTypeAndNumber>
        <RepresentatedOrRepresentativesNames/>
        <RepresentatedOrRepresentativesCount>0</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223697021</CasePartyID>
        <PartyTypeID>4</PartyTypeID>
        <ActivityStatusID>1</ActivityStatusID>
        <PartyAliasID>61</PartyAliasID>
        <PartyAliasName>עד תביעה</PartyAliasName>
        <LegalEntityID>79611523</LegalEntityID>
        <CaseLegalEntityID>114490872</CaseLegalEntityID>
        <AuthenticationTypeID>1</AuthenticationTypeID>
        <AuthenticationTypeName>ת"ז</AuthenticationTypeName>
        <IsMainPartyType>true</IsMainPartyType>
        <CaseDisplayIdentifier>30031-09-19</CaseDisplayIdentifier>
        <CaseTypeID>10262</CaseTypeID>
        <CaseTypeName>תביעה לאחר הסדר התדיינויות במשפחה (תלה"מ)</CaseTypeName>
        <CaseName>טובי נ' טובי</CaseName>
        <FullAddress>ירושלים </FullAddress>
        <MotionID>0</MotionID>
        <CasePleaID>0</CasePleaID>
        <LinkedCaseID>0</LinkedCaseID>
        <PartyID>1</PartyID>
        <CasePartyCategoryID>2</CasePartyCategoryID>
        <LegalEntityAddressID>84941489</LegalEntityAddressID>
        <PleaTypeID>4</PleaTypeID>
        <GroupPartyAlias/>
        <IsConverted>false</IsConverted>
        <LegalEntityNameID>91049829</LegalEntityNameID>
        <RepresentatedNamesOfAssistant/>
        <LegalEntityTypeID>1</LegalEntityTypeID>
        <IsVerdictExists>false</IsVerdictExists>
        <IsAsirAzir>false</IsAsirAzir>
        <IsPublicationProhibited>false</IsPublicationProhibited>
        <PublicationProhibitedFullName>רו"ח עוזי עייני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אהוד גרין</FullName>
        <FirstName>אהוד</FirstName>
        <LastName>גרין</LastName>
        <PartyPropertyName/>
        <AuthenticationTypeAndNumber>מ.ר. 19077</AuthenticationTypeAndNumber>
        <RepresentatedOrRepresentativesNames>סימה טובי</RepresentatedOrRepresentativesNames>
        <RepresentatedOrRepresentativesCount>1</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214136604</CasePartyID>
        <PartyTypeID>2</PartyTypeID>
        <ActivityStatusID>1</ActivityStatusID>
        <PartyAliasID>21</PartyAliasID>
        <PartyAliasName>בא כוח נתבעים</PartyAliasName>
        <LegalEntityID>389282</LegalEntityID>
        <CaseLegalEntityID>111702128</CaseLegalEntityID>
        <AuthenticationTypeID>4</AuthenticationTypeID>
        <AuthenticationTypeName>מ.ר.</AuthenticationTypeName>
        <LegalEntityNumber>19077</LegalEntityNumber>
        <IsMainPartyType>true</IsMainPartyType>
        <CaseDisplayIdentifier>30031-09-19</CaseDisplayIdentifier>
        <CaseTypeID>10262</CaseTypeID>
        <CaseTypeName>תביעה לאחר הסדר התדיינויות במשפחה (תלה"מ)</CaseTypeName>
        <CaseName>טובי נ' טובי</CaseName>
        <FullAddress>בית הדפוס 12 כניסה B ירושלים גבעת שאול</FullAddress>
        <EmailAddress>roy@greenlaw.co.il</EmailAddress>
        <MotionID>0</MotionID>
        <CasePleaID>0</CasePleaID>
        <LinkedCaseID>0</LinkedCaseID>
        <PartyID>2</PartyID>
        <CasePartyCategoryID>2</CasePartyCategoryID>
        <LegalEntityAddressID>432264</LegalEntityAddressID>
        <LegalEntityEmailAddressID>67910774</LegalEntityEmailAddressID>
        <PleaTypeID>4</PleaTypeID>
        <LawyerOfficeName>משרד עו"ד: אהוד גרין</LawyerOfficeName>
        <LawyerOfficeID>429926</LawyerOfficeID>
        <GroupPartyAlias/>
        <IsConverted>false</IsConverted>
        <LegalEntityNameID>10266</LegalEntityNameID>
        <RepresentatedNamesOfAssistant/>
        <LegalEntityTypeID>4</LegalEntityTypeID>
        <IsVerdictExists>false</IsVerdictExists>
        <IsAsirAzir>false</IsAsirAzir>
        <IsPublicationProhibited>false</IsPublicationProhibited>
        <PublicationProhibitedFullName>אהוד גרין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יגאל טובי</FullName>
        <FirstName>יגאל</FirstName>
        <LastName>טובי</LastName>
        <PartyPropertyName/>
        <AuthenticationTypeAndNumber>ת"ז 055563423</AuthenticationTypeAndNumber>
        <RepresentatedOrRepresentativesNames>יהלי כהנוב, שלומי שלום</RepresentatedOrRepresentativesNames>
        <RepresentatedOrRepresentativesCount>2</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201947796</CasePartyID>
        <PartyTypeID>1</PartyTypeID>
        <ActivityStatusID>1</ActivityStatusID>
        <PartyAliasID>1</PartyAliasID>
        <PartyAliasName>תובע</PartyAliasName>
        <OrdinalNumber>1</OrdinalNumber>
        <LegalEntityID>75891450</LegalEntityID>
        <CaseLegalEntityID>108102650</CaseLegalEntityID>
        <AuthenticationTypeID>1</AuthenticationTypeID>
        <AuthenticationTypeName>ת"ז</AuthenticationTypeName>
        <LegalEntityNumber>055563423</LegalEntityNumber>
        <IsMainPartyType>true</IsMainPartyType>
        <CaseDisplayIdentifier>30031-09-19</CaseDisplayIdentifier>
        <CaseTypeID>10262</CaseTypeID>
        <CaseTypeName>תביעה לאחר הסדר התדיינויות במשפחה (תלה"מ)</CaseTypeName>
        <CaseName>טובי נ' טובי</CaseName>
        <FullAddress/>
        <MotionID>0</MotionID>
        <CasePleaID>0</CasePleaID>
        <FatherName>יחיא</FatherName>
        <LinkedCaseID>0</LinkedCaseID>
        <PartyID>1</PartyID>
        <CasePartyCategoryID>2</CasePartyCategoryID>
        <PleaTypeID>4</PleaTypeID>
        <GroupPartyAlias>תובעים</GroupPartyAlias>
        <IsConverted>false</IsConverted>
        <LegalEntityRegisteredNameID>5822884</LegalEntityRegisteredNameID>
        <LegalEntityNameID>88394068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יגאל טובי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יהלי כהנוב</FullName>
        <FirstName>יהלי</FirstName>
        <LastName>כהנוב</LastName>
        <PartyPropertyName/>
        <AuthenticationTypeAndNumber>מ.ר. 6490</AuthenticationTypeAndNumber>
        <RepresentatedOrRepresentativesNames>יגאל טובי</RepresentatedOrRepresentativesNames>
        <RepresentatedOrRepresentativesCount>1</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201947797</CasePartyID>
        <PartyTypeID>2</PartyTypeID>
        <ActivityStatusID>1</ActivityStatusID>
        <PartyAliasID>20</PartyAliasID>
        <PartyAliasName>בא כוח תובעים</PartyAliasName>
        <OrdinalNumber>1</OrdinalNumber>
        <LegalEntityID>382610</LegalEntityID>
        <CaseLegalEntityID>108102651</CaseLegalEntityID>
        <AuthenticationTypeID>4</AuthenticationTypeID>
        <AuthenticationTypeName>מ.ר.</AuthenticationTypeName>
        <LegalEntityNumber>6490</LegalEntityNumber>
        <IsMainPartyType>true</IsMainPartyType>
        <CaseDisplayIdentifier>30031-09-19</CaseDisplayIdentifier>
        <CaseTypeID>10262</CaseTypeID>
        <CaseTypeName>תביעה לאחר הסדר התדיינויות במשפחה (תלה"מ)</CaseTypeName>
        <CaseName>טובי נ' טובי</CaseName>
        <FullAddress>המלך ג'ורג' 16 כניסה ב ירושלים </FullAddress>
        <MotionID>0</MotionID>
        <CasePleaID>0</CasePleaID>
        <LinkedCaseID>0</LinkedCaseID>
        <PartyID>1</PartyID>
        <CasePartyCategoryID>2</CasePartyCategoryID>
        <LegalEntityAddressID>76609161</LegalEntityAddressID>
        <PleaTypeID>4</PleaTypeID>
        <LawyerOfficeName>משרד עו"ד: יהלי כהנוב</LawyerOfficeName>
        <LawyerOfficeID>423254</LawyerOfficeID>
        <GroupPartyAlias/>
        <IsConverted>false</IsConverted>
        <LegalEntityNameID>3594</LegalEntityNameID>
        <RepresentatedNamesOfAssistant/>
        <LegalEntityTypeID>4</LegalEntityTypeID>
        <IsVerdictExists>false</IsVerdictExists>
        <IsAsirAzir>false</IsAsirAzir>
        <IsPublicationProhibited>false</IsPublicationProhibited>
        <PublicationProhibitedFullName>יהלי כהנוב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סימה טובי</FullName>
        <FirstName>סימה</FirstName>
        <LastName>טובי</LastName>
        <PartyPropertyName/>
        <AuthenticationTypeAndNumber>ת"ז 057057093</AuthenticationTypeAndNumber>
        <RepresentatedOrRepresentativesNames>אהוד גרין</RepresentatedOrRepresentativesNames>
        <RepresentatedOrRepresentativesCount>1</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201947798</CasePartyID>
        <PartyTypeID>1</PartyTypeID>
        <ActivityStatusID>1</ActivityStatusID>
        <PartyAliasID>2</PartyAliasID>
        <PartyAliasName>נתבע</PartyAliasName>
        <OrdinalNumber>1</OrdinalNumber>
        <LegalEntityID>74927910</LegalEntityID>
        <CaseLegalEntityID>108102652</CaseLegalEntityID>
        <AuthenticationTypeID>1</AuthenticationTypeID>
        <AuthenticationTypeName>ת"ז</AuthenticationTypeName>
        <LegalEntityNumber>057057093</LegalEntityNumber>
        <IsMainPartyType>true</IsMainPartyType>
        <CaseDisplayIdentifier>30031-09-19</CaseDisplayIdentifier>
        <CaseTypeID>10262</CaseTypeID>
        <CaseTypeName>תביעה לאחר הסדר התדיינויות במשפחה (תלה"מ)</CaseTypeName>
        <CaseName>טובי נ' טובי</CaseName>
        <FullAddress>ערוגות 5 גבעת זאב גבעת זאב </FullAddress>
        <MotionID>0</MotionID>
        <CasePleaID>0</CasePleaID>
        <LinkedCaseID>0</LinkedCaseID>
        <PartyID>2</PartyID>
        <CasePartyCategoryID>2</CasePartyCategoryID>
        <LegalEntityAddressID>83056988</LegalEntityAddressID>
        <PleaTypeID>4</PleaTypeID>
        <GroupPartyAlias>נתבעים</GroupPartyAlias>
        <IsConverted>false</IsConverted>
        <LegalEntityRegisteredNameID>5822885</LegalEntityRegisteredNameID>
        <LegalEntityNameID>88394069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סימה טובי</PublicationProhibitedFullName>
      </CaseParties>
    </CasePartiesSelectionDS>
    <DecisionName>פסק דין  שניתנה ע"י  הילה גלבוע</DecisionName>
    <CourtDisplayName>בית משפט לענייני משפחה בירושלים</CourtDisplayName>
    <IsCaseJudgePanel>false</IsCaseJudgePanel>
    <DecisionSignatureDate>2023-06-22T14:26:49.601983+03:00</DecisionSignatureDate>
    <OpenCaseDate>2019-09-12T08:44:00+03:00</OpenCaseDate>
    <CaseFeeSum>0.000</CaseFeeSum>
    <DecisionTypeID>2</DecisionTypeID>
    <DecisionSignatureUserName>הילה גלבוע</DecisionSignatureUserName>
    <DecisionSignatureDateHebrew>2023-06-22T14:26:49.601983+03:00</DecisionSignatureDateHebrew>
    <DecisionWriterID>033663675@GOV.IL</DecisionWriterID>
    <CourtAddress>רח' חשין 6, ירושלים 9515601</CourtAddress>
    <IsAutoTextInCaseExist>false</IsAutoTextInCaseExist>
    <DecisionSignatureRoleName>שופט</DecisionSignatureRoleName>
    <DecisionSignatureUserTitleName>שופטת</DecisionSignatureUserTitleName>
    <CaseName>טובי נ' טובי</CaseName>
    <DecisionNumberInCase>3</DecisionNumberInCase>
  </dt_Decision>
  <dt_DecisionCase>
    <DecisionID>0</DecisionID>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ציפי לביא</FullName>
        <FirstName>ציפי</FirstName>
        <LastName>לביא</LastName>
        <PartyPropertyName/>
        <AuthenticationTypeAndNumber>ת"ז 050315480</AuthenticationTypeAndNumber>
        <RepresentatedOrRepresentativesNames/>
        <RepresentatedOrRepresentativesCount>0</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206346037</CasePartyID>
        <PartyTypeID>5</PartyTypeID>
        <ActivityStatusID>1</ActivityStatusID>
        <PartyAliasID>102</PartyAliasID>
        <PartyAliasName>מומחה בית משפט</PartyAliasName>
        <LegalEntityID>69794545</LegalEntityID>
        <CaseLegalEntityID>109380429</CaseLegalEntityID>
        <AuthenticationTypeID>1</AuthenticationTypeID>
        <AuthenticationTypeName>ת"ז</AuthenticationTypeName>
        <LegalEntityNumber>050315480</LegalEntityNumber>
        <IsMainPartyType>true</IsMainPartyType>
        <CaseDisplayIdentifier>30031-09-19</CaseDisplayIdentifier>
        <CaseTypeID>10262</CaseTypeID>
        <CaseTypeName>תביעה לאחר הסדר התדיינויות במשפחה (תלה"מ)</CaseTypeName>
        <CaseName>טובי נ' טובי</CaseName>
        <FullAddress>מושב רמת רזיאל 153 רמת רזיאל </FullAddress>
        <EmailAddress>lavizipi@bezeqint.net</EmailAddress>
        <MotionID>0</MotionID>
        <CasePleaID>0</CasePleaID>
        <LinkedCaseID>0</LinkedCaseID>
        <CasePartyCategoryID>1</CasePartyCategoryID>
        <LegalEntityAddressID>72912296</LegalEntityAddressID>
        <LegalEntityEmailAddressID>67842356</LegalEntityEmailAddressID>
        <PleaTypeID>4</PleaTypeID>
        <GroupPartyAlias/>
        <IsConverted>false</IsConverted>
        <LegalEntityNameID>71946702</LegalEntityNameID>
        <RepresentatedNamesOfAssistant/>
        <LegalEntityTypeID>6</LegalEntityTypeID>
        <IsVerdictExists>false</IsVerdictExists>
        <IsAsirAzir>false</IsAsirAzir>
        <IsPublicationProhibited>false</IsPublicationProhibited>
        <PublicationProhibitedFullName>ציפי לביא</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ראובן בכר</FullName>
        <FirstName>ראובן</FirstName>
        <LastName>בכר</LastName>
        <PartyPropertyName/>
        <AuthenticationTypeAndNumber>ת"ז 059831321</AuthenticationTypeAndNumber>
        <RepresentatedOrRepresentativesNames/>
        <RepresentatedOrRepresentativesCount>0</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234376640</CasePartyID>
        <PartyTypeID>5</PartyTypeID>
        <ActivityStatusID>1</ActivityStatusID>
        <PartyAliasID>102</PartyAliasID>
        <PartyAliasName>מומחה בית משפט</PartyAliasName>
        <LegalEntityID>57456007</LegalEntityID>
        <CaseLegalEntityID>117767991</CaseLegalEntityID>
        <AuthenticationTypeID>1</AuthenticationTypeID>
        <AuthenticationTypeName>ת"ז</AuthenticationTypeName>
        <LegalEntityNumber>059831321</LegalEntityNumber>
        <IsMainPartyType>true</IsMainPartyType>
        <CaseDisplayIdentifier>30031-09-19</CaseDisplayIdentifier>
        <CaseTypeID>10262</CaseTypeID>
        <CaseTypeName>תביעה לאחר הסדר התדיינויות במשפחה (תלה"מ)</CaseTypeName>
        <CaseName>טובי נ' טובי</CaseName>
        <FullAddress>יפו 97 ת.ד 2315 ירושלים מרכז כלל קומה 9 חדר 925</FullAddress>
        <EmailAddress>breuven@zahav.net.il</EmailAddress>
        <MotionID>0</MotionID>
        <CasePleaID>0</CasePleaID>
        <FatherName xml:space="preserve">        </FatherName>
        <LinkedCaseID>0</LinkedCaseID>
        <CasePartyCategoryID>1</CasePartyCategoryID>
        <LegalEntityAddressID>72099552</LegalEntityAddressID>
        <LegalEntityEmailAddressID>67857114</LegalEntityEmailAddressID>
        <PleaTypeID>4</PleaTypeID>
        <GroupPartyAlias/>
        <IsConverted>false</IsConverted>
        <LegalEntityNameID>87456508</LegalEntityNameID>
        <RepresentatedNamesOfAssistant/>
        <LegalEntityTypeID>6</LegalEntityTypeID>
        <IsVerdictExists>false</IsVerdictExists>
        <IsAsirAzir>false</IsAsirAzir>
        <IsPublicationProhibited>false</IsPublicationProhibited>
        <PublicationProhibitedFullName>ראובן בכר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אבנר נוקראי</FullName>
        <FirstName>אבנר</FirstName>
        <LastName>נוקראי</LastName>
        <PartyPropertyName/>
        <AuthenticationTypeAndNumber>ת"ז 058727561</AuthenticationTypeAndNumber>
        <RepresentatedOrRepresentativesNames/>
        <RepresentatedOrRepresentativesCount>0</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236293965</CasePartyID>
        <PartyTypeID>5</PartyTypeID>
        <ActivityStatusID>1</ActivityStatusID>
        <PartyAliasID>102</PartyAliasID>
        <PartyAliasName>מומחה בית משפט</PartyAliasName>
        <LegalEntityID>20984463</LegalEntityID>
        <CaseLegalEntityID>118344335</CaseLegalEntityID>
        <AuthenticationTypeID>1</AuthenticationTypeID>
        <AuthenticationTypeName>ת"ז</AuthenticationTypeName>
        <LegalEntityNumber>058727561</LegalEntityNumber>
        <IsMainPartyType>true</IsMainPartyType>
        <CaseDisplayIdentifier>30031-09-19</CaseDisplayIdentifier>
        <CaseTypeID>10262</CaseTypeID>
        <CaseTypeName>תביעה לאחר הסדר התדיינויות במשפחה (תלה"מ)</CaseTypeName>
        <CaseName>טובי נ' טובי</CaseName>
        <FullAddress>האוניברסיטה העברית ירושלים </FullAddress>
        <EmailAddress>avner10@013.net.il</EmailAddress>
        <MotionID>0</MotionID>
        <CasePleaID>0</CasePleaID>
        <LinkedCaseID>0</LinkedCaseID>
        <CasePartyCategoryID>1</CasePartyCategoryID>
        <LegalEntityAddressID>83310381</LegalEntityAddressID>
        <LegalEntityEmailAddressID>19819917</LegalEntityEmailAddressID>
        <PleaTypeID>4</PleaTypeID>
        <GroupPartyAlias/>
        <IsConverted>false</IsConverted>
        <LegalEntityNameID>22688662</LegalEntityNameID>
        <RepresentatedNamesOfAssistant/>
        <LegalEntityTypeID>6</LegalEntityTypeID>
        <IsVerdictExists>false</IsVerdictExists>
        <IsAsirAzir>false</IsAsirAzir>
        <IsPublicationProhibited>false</IsPublicationProhibited>
        <PublicationProhibitedFullName>אבנר נוקראי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 שלום</FullName>
        <FirstName>שלומי</FirstName>
        <LastName>שלום</LastName>
        <PartyPropertyName/>
        <AuthenticationTypeAndNumber>מ.ר. 20942</AuthenticationTypeAndNumber>
        <RepresentatedOrRepresentativesNames>יגאל טובי</RepresentatedOrRepresentativesNames>
        <RepresentatedOrRepresentativesCount>1</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254621043</CasePartyID>
        <PartyTypeID>2</PartyTypeID>
        <ActivityStatusID>1</ActivityStatusID>
        <PartyAliasID>20</PartyAliasID>
        <PartyAliasName>בא כוח תובעים</PartyAliasName>
        <LegalEntityID>399088</LegalEntityID>
        <CaseLegalEntityID>124024997</CaseLegalEntityID>
        <AuthenticationTypeID>4</AuthenticationTypeID>
        <AuthenticationTypeName>מ.ר.</AuthenticationTypeName>
        <LegalEntityNumber>20942</LegalEntityNumber>
        <IsMainPartyType>true</IsMainPartyType>
        <CaseDisplayIdentifier>30031-09-19</CaseDisplayIdentifier>
        <CaseTypeID>10262</CaseTypeID>
        <CaseTypeName>תביעה לאחר הסדר התדיינויות במשפחה (תלה"מ)</CaseTypeName>
        <CaseName>טובי נ' טובי</CaseName>
        <FullAddress>שד' הרכס 13 מודיעין-מכבים-רעות* בניין A קומה 4</FullAddress>
        <EmailAddress>shlomi@shalom-adv.co.il</EmailAddress>
        <MotionID>0</MotionID>
        <CasePleaID>0</CasePleaID>
        <LinkedCaseID>0</LinkedCaseID>
        <PartyID>1</PartyID>
        <CasePartyCategoryID>2</CasePartyCategoryID>
        <LegalEntityAddressID>87763281</LegalEntityAddressID>
        <LegalEntityEmailAddressID>68255113</LegalEntityEmailAddressID>
        <PleaTypeID>4</PleaTypeID>
        <LawyerOfficeName>משרד עו"ד: שלומי שלום</LawyerOfficeName>
        <LawyerOfficeID>439732</LawyerOfficeID>
        <GroupPartyAlias/>
        <IsConverted>false</IsConverted>
        <LegalEntityNameID>20072</LegalEntityNameID>
        <RepresentatedNamesOfAssistant/>
        <LegalEntityTypeID>4</LegalEntityTypeID>
        <IsVerdictExists>false</IsVerdictExists>
        <IsAsirAzir>false</IsAsirAzir>
        <IsPublicationProhibited>false</IsPublicationProhibited>
        <PublicationProhibitedFullName>שלומי שלום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רו"ח עוזי עייני</FullName>
        <FirstName>רו"ח עוזי</FirstName>
        <LastName>עייני</LastName>
        <PartyPropertyName/>
        <AuthenticationTypeAndNumber>ת"ז </AuthenticationTypeAndNumber>
        <RepresentatedOrRepresentativesNames/>
        <RepresentatedOrRepresentativesCount>0</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223697021</CasePartyID>
        <PartyTypeID>4</PartyTypeID>
        <ActivityStatusID>1</ActivityStatusID>
        <PartyAliasID>61</PartyAliasID>
        <PartyAliasName>עד תביעה</PartyAliasName>
        <LegalEntityID>79611523</LegalEntityID>
        <CaseLegalEntityID>114490872</CaseLegalEntityID>
        <AuthenticationTypeID>1</AuthenticationTypeID>
        <AuthenticationTypeName>ת"ז</AuthenticationTypeName>
        <IsMainPartyType>true</IsMainPartyType>
        <CaseDisplayIdentifier>30031-09-19</CaseDisplayIdentifier>
        <CaseTypeID>10262</CaseTypeID>
        <CaseTypeName>תביעה לאחר הסדר התדיינויות במשפחה (תלה"מ)</CaseTypeName>
        <CaseName>טובי נ' טובי</CaseName>
        <FullAddress>ירושלים </FullAddress>
        <MotionID>0</MotionID>
        <CasePleaID>0</CasePleaID>
        <LinkedCaseID>0</LinkedCaseID>
        <PartyID>1</PartyID>
        <CasePartyCategoryID>2</CasePartyCategoryID>
        <LegalEntityAddressID>84941489</LegalEntityAddressID>
        <PleaTypeID>4</PleaTypeID>
        <GroupPartyAlias/>
        <IsConverted>false</IsConverted>
        <LegalEntityNameID>91049829</LegalEntityNameID>
        <RepresentatedNamesOfAssistant/>
        <LegalEntityTypeID>1</LegalEntityTypeID>
        <IsVerdictExists>false</IsVerdictExists>
        <IsAsirAzir>false</IsAsirAzir>
        <IsPublicationProhibited>false</IsPublicationProhibited>
        <PublicationProhibitedFullName>רו"ח עוזי עייני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אהוד גרין</FullName>
        <FirstName>אהוד</FirstName>
        <LastName>גרין</LastName>
        <PartyPropertyName/>
        <AuthenticationTypeAndNumber>מ.ר. 19077</AuthenticationTypeAndNumber>
        <RepresentatedOrRepresentativesNames>סימה טובי</RepresentatedOrRepresentativesNames>
        <RepresentatedOrRepresentativesCount>1</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214136604</CasePartyID>
        <PartyTypeID>2</PartyTypeID>
        <ActivityStatusID>1</ActivityStatusID>
        <PartyAliasID>21</PartyAliasID>
        <PartyAliasName>בא כוח נתבעים</PartyAliasName>
        <LegalEntityID>389282</LegalEntityID>
        <CaseLegalEntityID>111702128</CaseLegalEntityID>
        <AuthenticationTypeID>4</AuthenticationTypeID>
        <AuthenticationTypeName>מ.ר.</AuthenticationTypeName>
        <LegalEntityNumber>19077</LegalEntityNumber>
        <IsMainPartyType>true</IsMainPartyType>
        <CaseDisplayIdentifier>30031-09-19</CaseDisplayIdentifier>
        <CaseTypeID>10262</CaseTypeID>
        <CaseTypeName>תביעה לאחר הסדר התדיינויות במשפחה (תלה"מ)</CaseTypeName>
        <CaseName>טובי נ' טובי</CaseName>
        <FullAddress>בית הדפוס 12 כניסה B ירושלים גבעת שאול</FullAddress>
        <EmailAddress>roy@greenlaw.co.il</EmailAddress>
        <MotionID>0</MotionID>
        <CasePleaID>0</CasePleaID>
        <LinkedCaseID>0</LinkedCaseID>
        <PartyID>2</PartyID>
        <CasePartyCategoryID>2</CasePartyCategoryID>
        <LegalEntityAddressID>432264</LegalEntityAddressID>
        <LegalEntityEmailAddressID>67910774</LegalEntityEmailAddressID>
        <PleaTypeID>4</PleaTypeID>
        <LawyerOfficeName>משרד עו"ד: אהוד גרין</LawyerOfficeName>
        <LawyerOfficeID>429926</LawyerOfficeID>
        <GroupPartyAlias/>
        <IsConverted>false</IsConverted>
        <LegalEntityNameID>10266</LegalEntityNameID>
        <RepresentatedNamesOfAssistant/>
        <LegalEntityTypeID>4</LegalEntityTypeID>
        <IsVerdictExists>false</IsVerdictExists>
        <IsAsirAzir>false</IsAsirAzir>
        <IsPublicationProhibited>false</IsPublicationProhibited>
        <PublicationProhibitedFullName>אהוד גרין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יגאל טובי</FullName>
        <FirstName>יגאל</FirstName>
        <LastName>טובי</LastName>
        <PartyPropertyName/>
        <AuthenticationTypeAndNumber>ת"ז 055563423</AuthenticationTypeAndNumber>
        <RepresentatedOrRepresentativesNames>יהלי כהנוב, שלומי שלום</RepresentatedOrRepresentativesNames>
        <RepresentatedOrRepresentativesCount>2</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201947796</CasePartyID>
        <PartyTypeID>1</PartyTypeID>
        <ActivityStatusID>1</ActivityStatusID>
        <PartyAliasID>1</PartyAliasID>
        <PartyAliasName>תובע</PartyAliasName>
        <OrdinalNumber>1</OrdinalNumber>
        <LegalEntityID>75891450</LegalEntityID>
        <CaseLegalEntityID>108102650</CaseLegalEntityID>
        <AuthenticationTypeID>1</AuthenticationTypeID>
        <AuthenticationTypeName>ת"ז</AuthenticationTypeName>
        <LegalEntityNumber>055563423</LegalEntityNumber>
        <IsMainPartyType>true</IsMainPartyType>
        <CaseDisplayIdentifier>30031-09-19</CaseDisplayIdentifier>
        <CaseTypeID>10262</CaseTypeID>
        <CaseTypeName>תביעה לאחר הסדר התדיינויות במשפחה (תלה"מ)</CaseTypeName>
        <CaseName>טובי נ' טובי</CaseName>
        <FullAddress/>
        <MotionID>0</MotionID>
        <CasePleaID>0</CasePleaID>
        <FatherName>יחיא</FatherName>
        <LinkedCaseID>0</LinkedCaseID>
        <PartyID>1</PartyID>
        <CasePartyCategoryID>2</CasePartyCategoryID>
        <PleaTypeID>4</PleaTypeID>
        <GroupPartyAlias>תובעים</GroupPartyAlias>
        <IsConverted>false</IsConverted>
        <LegalEntityRegisteredNameID>5822884</LegalEntityRegisteredNameID>
        <LegalEntityNameID>88394068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יגאל טובי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יהלי כהנוב</FullName>
        <FirstName>יהלי</FirstName>
        <LastName>כהנוב</LastName>
        <PartyPropertyName/>
        <AuthenticationTypeAndNumber>מ.ר. 6490</AuthenticationTypeAndNumber>
        <RepresentatedOrRepresentativesNames>יגאל טובי</RepresentatedOrRepresentativesNames>
        <RepresentatedOrRepresentativesCount>1</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201947797</CasePartyID>
        <PartyTypeID>2</PartyTypeID>
        <ActivityStatusID>1</ActivityStatusID>
        <PartyAliasID>20</PartyAliasID>
        <PartyAliasName>בא כוח תובעים</PartyAliasName>
        <OrdinalNumber>1</OrdinalNumber>
        <LegalEntityID>382610</LegalEntityID>
        <CaseLegalEntityID>108102651</CaseLegalEntityID>
        <AuthenticationTypeID>4</AuthenticationTypeID>
        <AuthenticationTypeName>מ.ר.</AuthenticationTypeName>
        <LegalEntityNumber>6490</LegalEntityNumber>
        <IsMainPartyType>true</IsMainPartyType>
        <CaseDisplayIdentifier>30031-09-19</CaseDisplayIdentifier>
        <CaseTypeID>10262</CaseTypeID>
        <CaseTypeName>תביעה לאחר הסדר התדיינויות במשפחה (תלה"מ)</CaseTypeName>
        <CaseName>טובי נ' טובי</CaseName>
        <FullAddress>המלך ג'ורג' 16 כניסה ב ירושלים </FullAddress>
        <MotionID>0</MotionID>
        <CasePleaID>0</CasePleaID>
        <LinkedCaseID>0</LinkedCaseID>
        <PartyID>1</PartyID>
        <CasePartyCategoryID>2</CasePartyCategoryID>
        <LegalEntityAddressID>76609161</LegalEntityAddressID>
        <PleaTypeID>4</PleaTypeID>
        <LawyerOfficeName>משרד עו"ד: יהלי כהנוב</LawyerOfficeName>
        <LawyerOfficeID>423254</LawyerOfficeID>
        <GroupPartyAlias/>
        <IsConverted>false</IsConverted>
        <LegalEntityNameID>3594</LegalEntityNameID>
        <RepresentatedNamesOfAssistant/>
        <LegalEntityTypeID>4</LegalEntityTypeID>
        <IsVerdictExists>false</IsVerdictExists>
        <IsAsirAzir>false</IsAsirAzir>
        <IsPublicationProhibited>false</IsPublicationProhibited>
        <PublicationProhibitedFullName>יהלי כהנוב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סימה טובי</FullName>
        <FirstName>סימה</FirstName>
        <LastName>טובי</LastName>
        <PartyPropertyName/>
        <AuthenticationTypeAndNumber>ת"ז 057057093</AuthenticationTypeAndNumber>
        <RepresentatedOrRepresentativesNames>אהוד גרין</RepresentatedOrRepresentativesNames>
        <RepresentatedOrRepresentativesCount>1</RepresentatedOrRepresentativesCount>
        <InvitedBy/>
        <CaseID>76775441</CaseID>
        <CaseJudicialPersonPresentationDS>
          <CaseJudicalPersonActive>
            <CaseID>76775441</CaseID>
            <JudicialPersonID>033663675@GOV.IL</JudicialPersonID>
            <JudicialPersonTypeID>1</JudicialPersonTypeID>
            <JudicialTypeID>1</JudicialTypeID>
            <IsChairman>false</IsChairman>
            <TreatmentStartDate>2022-05-09T13:41:27.82+03:00</TreatmentStartDate>
            <TreatmentFinishDate>9999-12-31T23:59:59.997+02:00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201947798</CasePartyID>
        <PartyTypeID>1</PartyTypeID>
        <ActivityStatusID>1</ActivityStatusID>
        <PartyAliasID>2</PartyAliasID>
        <PartyAliasName>נתבע</PartyAliasName>
        <OrdinalNumber>1</OrdinalNumber>
        <LegalEntityID>74927910</LegalEntityID>
        <CaseLegalEntityID>108102652</CaseLegalEntityID>
        <AuthenticationTypeID>1</AuthenticationTypeID>
        <AuthenticationTypeName>ת"ז</AuthenticationTypeName>
        <LegalEntityNumber>057057093</LegalEntityNumber>
        <IsMainPartyType>true</IsMainPartyType>
        <CaseDisplayIdentifier>30031-09-19</CaseDisplayIdentifier>
        <CaseTypeID>10262</CaseTypeID>
        <CaseTypeName>תביעה לאחר הסדר התדיינויות במשפחה (תלה"מ)</CaseTypeName>
        <CaseName>טובי נ' טובי</CaseName>
        <FullAddress>ערוגות 5 גבעת זאב גבעת זאב </FullAddress>
        <MotionID>0</MotionID>
        <CasePleaID>0</CasePleaID>
        <LinkedCaseID>0</LinkedCaseID>
        <PartyID>2</PartyID>
        <CasePartyCategoryID>2</CasePartyCategoryID>
        <LegalEntityAddressID>83056988</LegalEntityAddressID>
        <PleaTypeID>4</PleaTypeID>
        <GroupPartyAlias>נתבעים</GroupPartyAlias>
        <IsConverted>false</IsConverted>
        <LegalEntityRegisteredNameID>5822885</LegalEntityRegisteredNameID>
        <LegalEntityNameID>88394069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סימה טובי</PublicationProhibitedFullName>
      </CaseParties>
    </CasePartiesSelectionDS>
    <CaseName>טובי נ' טובי</CaseName>
    <CaseDisplayIdentifier>30031-09-19</CaseDisplayIdentifier>
    <CaseInterestID>10513</CaseInterestID>
    <CaseTypeShortName>תלה"מ</CaseTypeShortName>
  </dt_DecisionCase>
  <dt_DecisionJudgePanel>
    <JudgeID>033663675@GOV.IL</JudgeID>
    <DisplayName>הילה גלבוע</DisplayName>
    <RoleName>שופט</RoleName>
    <UserTitleName>שופטת</UserTitleName>
  </dt_DecisionJudgePanel>
  <dt_LegalEntityDetails>
    <Fax>02-5797530</Fax>
    <Phone>02-5342093</Phone>
    <PartyTypeID>5</PartyTypeID>
    <DecisionID>0</DecisionID>
    <StreetName>מושב רמת רזיאל 153</StreetName>
    <ZipCode>90974</ZipCode>
    <CityName>רמת רזיאל</CityName>
    <FullName>ציפי לביא</FullName>
    <Email>lavizipi@bezeqint.net</Email>
    <IsPublicationProhibited>false</IsPublicationProhibited>
  </dt_LegalEntityDetails>
  <dt_LegalEntityDetails>
    <Fax>02-6528993</Fax>
    <Phone>02-6528992</Phone>
    <AddressDesc>גבעת שאול</AddressDesc>
    <PartyID>2</PartyID>
    <PartyTypeID>2</PartyTypeID>
    <DecisionID>0</DecisionID>
    <StreetName>בית הדפוס 12 כניסה B</StreetName>
    <ZipCode>95483</ZipCode>
    <CityName>ירושלים</CityName>
    <FullName>אהוד גרין</FullName>
    <Email>roy@greenlaw.co.il</Email>
    <IsPublicationProhibited>false</IsPublicationProhibited>
  </dt_LegalEntityDetails>
  <dt_LegalEntityDetails>
    <PartyID>1</PartyID>
    <PartyTypeID>4</PartyTypeID>
    <DecisionID>0</DecisionID>
    <IsPublicationProhibited>false</IsPublicationProhibited>
  </dt_LegalEntityDetails>
  <dt_LegalEntityDetails>
    <Fax>02-6256280</Fax>
    <Phone>02-6252776</Phone>
    <AddressDesc>מרכז כלל קומה 9 חדר 925</AddressDesc>
    <PartyTypeID>5</PartyTypeID>
    <DecisionID>0</DecisionID>
    <StreetName>יפו 97 ת.ד 2315</StreetName>
    <ZipCode>91020</ZipCode>
    <CityName>ירושלים</CityName>
    <FullName>ראובן בכר</FullName>
    <Email>breuven@zahav.net.il</Email>
    <IsPublicationProhibited>false</IsPublicationProhibited>
  </dt_LegalEntityDetails>
  <dt_LegalEntityDetails>
    <Fax>03-5665670</Fax>
    <Phone>02-6799833</Phone>
    <PartyTypeID>5</PartyTypeID>
    <DecisionID>0</DecisionID>
    <StreetName>האוניברסיטה העברית</StreetName>
    <ZipCode>95702</ZipCode>
    <CityName>ירושלים</CityName>
    <FullName>אבנר נוקראי</FullName>
    <Email>avner10@013.net.il</Email>
    <IsPublicationProhibited>false</IsPublicationProhibited>
  </dt_LegalEntityDetails>
  <dt_LegalEntityDetails>
    <Fax>03-5688619</Fax>
    <Phone>03-5688618</Phone>
    <AddressDesc>בניין A קומה 4</AddressDesc>
    <PartyID>1</PartyID>
    <PartyTypeID>2</PartyTypeID>
    <DecisionID>0</DecisionID>
    <StreetName>שד' הרכס 13</StreetName>
    <ZipCode>7179296</ZipCode>
    <CityName>מודיעין-מכבים-רעות*</CityName>
    <FullName>שלומי שלום</FullName>
    <Email>shlomi@shalom-adv.co.il</Email>
    <IsPublicationProhibited>false</IsPublicationProhibited>
  </dt_LegalEntityDetails>
  <dt_LegalEntityDetails>
    <PartyID>1</PartyID>
    <PartyTypeID>1</PartyTypeID>
    <DecisionID>0</DecisionID>
    <FullName>יגאל טובי</FullName>
    <IsPublicationProhibited>false</IsPublicationProhibited>
  </dt_LegalEntityDetails>
  <dt_LegalEntityDetails>
    <Fax>02-6243220</Fax>
    <Phone>02-6256477</Phone>
    <PartyID>1</PartyID>
    <PartyTypeID>2</PartyTypeID>
    <DecisionID>0</DecisionID>
    <StreetName>המלך ג'ורג' 16 כניסה ב</StreetName>
    <ZipCode>9422917</ZipCode>
    <CityName>ירושלים</CityName>
    <FullName>יהלי כהנוב</FullName>
    <Email>kahanoff@zahav.net.il</Email>
    <IsPublicationProhibited>false</IsPublicationProhibited>
  </dt_LegalEntityDetails>
  <dt_LegalEntityDetails>
    <PartyID>2</PartyID>
    <PartyTypeID>1</PartyTypeID>
    <DecisionID>0</DecisionID>
    <StreetName>ערוגות 5 גבעת זאב</StreetName>
    <ZipCode>90917</ZipCode>
    <CityName>גבעת זאב</CityName>
    <FullName>סימה טובי</FullName>
    <IsPublicationProhibited>false</IsPublicationProhibited>
  </dt_LegalEntityDetails>
  <dt_CaseJudicalPersonActive>
    <CaseJudicalPerson>שופטת הילה גלבוע</CaseJudicalPerson>
  </dt_CaseJudicalPersonActive>
  <dt_Sitting>
    <PreviousMeetingDate>2022-12-08T12:00:00+02:00</PreviousMeetingDate>
    <PreviousSittingTypeID>5</PreviousSittingTypeID>
    <PreviousMeetingDisplayName>שופטת הילה גלבוע</PreviousMeetingDisplayName>
    <PreviousMeetingRoleName>שופט</PreviousMeetingRoleName>
    <PreviousMeetingUserTitleName>שופטת</PreviousMeetingUserTitleName>
    <PreviousMeetingUserUPN>033663675@GOV.IL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8E0DE-C4E6-446B-8646-09FD5C94F38A}">
  <ds:schemaRefs/>
</ds:datastoreItem>
</file>

<file path=customXml/itemProps2.xml><?xml version="1.0" encoding="utf-8"?>
<ds:datastoreItem xmlns:ds="http://schemas.openxmlformats.org/officeDocument/2006/customXml" ds:itemID="{21586B81-24E1-4902-A588-EF57FBF19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12792</Words>
  <Characters>63961</Characters>
  <Application>Microsoft Office Word</Application>
  <DocSecurity>0</DocSecurity>
  <Lines>533</Lines>
  <Paragraphs>153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2024-05-27T06:36:00Z</cp:lastPrinted>
  <dcterms:created xsi:type="dcterms:W3CDTF">2024-10-06T09:49:00Z</dcterms:created>
  <dcterms:modified xsi:type="dcterms:W3CDTF">2024-10-06T09:49:00Z</dcterms:modified>
</cp:coreProperties>
</file>